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8E844D" w14:textId="77777777" w:rsidR="00A9707E" w:rsidRPr="00BF36E2" w:rsidRDefault="00A9707E" w:rsidP="00A9707E">
      <w:pPr>
        <w:spacing w:line="480" w:lineRule="auto"/>
        <w:jc w:val="center"/>
        <w:rPr>
          <w:rFonts w:cs="Arial"/>
          <w:color w:val="000080"/>
          <w:sz w:val="28"/>
          <w:szCs w:val="28"/>
        </w:rPr>
      </w:pPr>
      <w:r>
        <w:rPr>
          <w:rFonts w:cs="Arial"/>
          <w:color w:val="000080"/>
          <w:sz w:val="28"/>
          <w:szCs w:val="28"/>
        </w:rPr>
        <w:t xml:space="preserve">Report on the </w:t>
      </w:r>
      <w:r w:rsidRPr="001A6403">
        <w:rPr>
          <w:rFonts w:cs="Arial"/>
          <w:color w:val="000080"/>
          <w:sz w:val="28"/>
          <w:szCs w:val="28"/>
        </w:rPr>
        <w:t xml:space="preserve">Full Test Submission </w:t>
      </w:r>
      <w:r w:rsidRPr="00BF36E2">
        <w:rPr>
          <w:rFonts w:cs="Arial"/>
          <w:color w:val="000080"/>
          <w:sz w:val="28"/>
          <w:szCs w:val="28"/>
        </w:rPr>
        <w:t>Assessment</w:t>
      </w:r>
    </w:p>
    <w:p w14:paraId="5A765CD5" w14:textId="77777777" w:rsidR="00A9707E" w:rsidRDefault="00A9707E" w:rsidP="00A9707E">
      <w:pPr>
        <w:spacing w:line="480" w:lineRule="auto"/>
        <w:jc w:val="center"/>
        <w:rPr>
          <w:rFonts w:cs="Arial"/>
          <w:color w:val="000080"/>
          <w:sz w:val="28"/>
          <w:szCs w:val="28"/>
        </w:rPr>
      </w:pPr>
    </w:p>
    <w:p w14:paraId="09D42F93" w14:textId="77777777" w:rsidR="00C2010A" w:rsidRPr="00C2010A" w:rsidRDefault="00C2010A" w:rsidP="00C2010A">
      <w:pPr>
        <w:spacing w:line="480" w:lineRule="auto"/>
        <w:jc w:val="center"/>
        <w:rPr>
          <w:rFonts w:cs="Arial"/>
          <w:sz w:val="28"/>
          <w:szCs w:val="28"/>
        </w:rPr>
      </w:pPr>
      <w:r w:rsidRPr="00C2010A">
        <w:rPr>
          <w:rFonts w:cs="Arial"/>
          <w:sz w:val="28"/>
          <w:szCs w:val="28"/>
        </w:rPr>
        <w:t>TM2020-04</w:t>
      </w:r>
    </w:p>
    <w:p w14:paraId="2C31C5DD" w14:textId="77777777" w:rsidR="00C2010A" w:rsidRPr="00C2010A" w:rsidRDefault="00C2010A" w:rsidP="00C2010A">
      <w:pPr>
        <w:spacing w:before="100" w:beforeAutospacing="1" w:after="100" w:afterAutospacing="1"/>
        <w:jc w:val="center"/>
        <w:rPr>
          <w:rFonts w:cs="Arial"/>
          <w:sz w:val="28"/>
          <w:szCs w:val="28"/>
        </w:rPr>
      </w:pPr>
      <w:r w:rsidRPr="00C2010A">
        <w:rPr>
          <w:rFonts w:cs="Arial"/>
          <w:sz w:val="28"/>
          <w:szCs w:val="28"/>
          <w:lang w:val="en-US"/>
        </w:rPr>
        <w:t>3D reconstructed human skin micronucleus assay (RSMN</w:t>
      </w:r>
      <w:r w:rsidRPr="00C2010A">
        <w:rPr>
          <w:rFonts w:cs="Arial"/>
          <w:sz w:val="28"/>
          <w:szCs w:val="28"/>
        </w:rPr>
        <w:t>)</w:t>
      </w:r>
    </w:p>
    <w:p w14:paraId="0C807040" w14:textId="77777777" w:rsidR="00A9707E" w:rsidRPr="00954D1A" w:rsidRDefault="00A9707E" w:rsidP="00A9707E">
      <w:pPr>
        <w:tabs>
          <w:tab w:val="left" w:pos="5103"/>
        </w:tabs>
        <w:outlineLvl w:val="0"/>
        <w:rPr>
          <w:rFonts w:cs="Arial"/>
          <w:b/>
          <w:color w:val="0070C0"/>
          <w:sz w:val="28"/>
          <w:szCs w:val="28"/>
        </w:rPr>
      </w:pPr>
    </w:p>
    <w:p w14:paraId="365F0D3C" w14:textId="77777777" w:rsidR="00A9707E" w:rsidRPr="00954D1A" w:rsidRDefault="00A9707E" w:rsidP="00A9707E">
      <w:pPr>
        <w:tabs>
          <w:tab w:val="left" w:pos="5103"/>
        </w:tabs>
        <w:outlineLvl w:val="0"/>
        <w:rPr>
          <w:rFonts w:cs="Arial"/>
          <w:b/>
          <w:color w:val="0070C0"/>
          <w:sz w:val="28"/>
          <w:szCs w:val="28"/>
        </w:rPr>
      </w:pPr>
    </w:p>
    <w:p w14:paraId="778B834C" w14:textId="77777777" w:rsidR="00A9707E" w:rsidRPr="00954D1A" w:rsidRDefault="00A9707E" w:rsidP="00A9707E">
      <w:pPr>
        <w:tabs>
          <w:tab w:val="left" w:pos="5103"/>
        </w:tabs>
        <w:outlineLvl w:val="0"/>
        <w:rPr>
          <w:rFonts w:cs="Arial"/>
          <w:b/>
          <w:color w:val="0070C0"/>
          <w:sz w:val="28"/>
          <w:szCs w:val="28"/>
        </w:rPr>
      </w:pPr>
    </w:p>
    <w:p w14:paraId="3E38E5E8" w14:textId="77777777" w:rsidR="00A9707E" w:rsidRPr="00954D1A" w:rsidRDefault="00A9707E" w:rsidP="00A9707E">
      <w:pPr>
        <w:tabs>
          <w:tab w:val="left" w:pos="5103"/>
        </w:tabs>
        <w:outlineLvl w:val="0"/>
        <w:rPr>
          <w:rFonts w:cs="Arial"/>
          <w:b/>
          <w:color w:val="0070C0"/>
          <w:sz w:val="28"/>
          <w:szCs w:val="28"/>
        </w:rPr>
      </w:pPr>
    </w:p>
    <w:p w14:paraId="39367B64" w14:textId="5DEFF4DE" w:rsidR="00B75740" w:rsidRDefault="00B75740" w:rsidP="00A9707E">
      <w:pPr>
        <w:tabs>
          <w:tab w:val="left" w:pos="5103"/>
        </w:tabs>
        <w:outlineLvl w:val="0"/>
        <w:rPr>
          <w:rFonts w:cs="Arial"/>
          <w:b/>
          <w:color w:val="0070C0"/>
          <w:sz w:val="28"/>
          <w:szCs w:val="28"/>
        </w:rPr>
      </w:pPr>
    </w:p>
    <w:p w14:paraId="72779210" w14:textId="36F64684" w:rsidR="00A9707E" w:rsidRPr="006D459C" w:rsidRDefault="004362B4" w:rsidP="00A9707E">
      <w:pPr>
        <w:spacing w:line="480" w:lineRule="auto"/>
        <w:rPr>
          <w:rFonts w:cs="Arial"/>
          <w:color w:val="000080"/>
          <w:sz w:val="28"/>
          <w:szCs w:val="28"/>
        </w:rPr>
      </w:pPr>
      <w:r>
        <w:rPr>
          <w:rFonts w:cs="Arial"/>
          <w:color w:val="000080"/>
          <w:sz w:val="28"/>
          <w:szCs w:val="28"/>
        </w:rPr>
        <w:t xml:space="preserve">February </w:t>
      </w:r>
      <w:r w:rsidR="00B75740">
        <w:rPr>
          <w:rFonts w:cs="Arial"/>
          <w:color w:val="000080"/>
          <w:sz w:val="28"/>
          <w:szCs w:val="28"/>
        </w:rPr>
        <w:t>8</w:t>
      </w:r>
      <w:r w:rsidR="00517344" w:rsidRPr="00517344">
        <w:rPr>
          <w:rFonts w:cs="Arial"/>
          <w:color w:val="000080"/>
          <w:sz w:val="28"/>
          <w:szCs w:val="28"/>
          <w:vertAlign w:val="superscript"/>
        </w:rPr>
        <w:t>th</w:t>
      </w:r>
      <w:r w:rsidR="00B75740">
        <w:rPr>
          <w:rFonts w:cs="Arial"/>
          <w:color w:val="000080"/>
          <w:sz w:val="28"/>
          <w:szCs w:val="28"/>
        </w:rPr>
        <w:t>, 2023</w:t>
      </w:r>
    </w:p>
    <w:p w14:paraId="702B544A" w14:textId="77777777" w:rsidR="00A9707E" w:rsidRDefault="00A9707E" w:rsidP="00A9707E">
      <w:pPr>
        <w:tabs>
          <w:tab w:val="left" w:pos="5103"/>
        </w:tabs>
        <w:jc w:val="both"/>
        <w:outlineLvl w:val="0"/>
        <w:sectPr w:rsidR="00A9707E" w:rsidSect="00F01463">
          <w:headerReference w:type="default" r:id="rId8"/>
          <w:footerReference w:type="default" r:id="rId9"/>
          <w:headerReference w:type="first" r:id="rId10"/>
          <w:footerReference w:type="first" r:id="rId11"/>
          <w:pgSz w:w="11906" w:h="16838" w:code="9"/>
          <w:pgMar w:top="1418" w:right="1418" w:bottom="1418" w:left="1418" w:header="850" w:footer="709" w:gutter="0"/>
          <w:cols w:space="708"/>
          <w:titlePg/>
          <w:docGrid w:linePitch="360"/>
        </w:sectPr>
      </w:pPr>
    </w:p>
    <w:p w14:paraId="60C1E0C9" w14:textId="77777777" w:rsidR="003010F8" w:rsidRPr="001A6403" w:rsidRDefault="003010F8" w:rsidP="003010F8">
      <w:pPr>
        <w:jc w:val="center"/>
        <w:rPr>
          <w:rFonts w:cs="Arial"/>
          <w:color w:val="000080"/>
          <w:sz w:val="28"/>
          <w:szCs w:val="28"/>
        </w:rPr>
      </w:pPr>
      <w:r w:rsidRPr="001A6403">
        <w:rPr>
          <w:rFonts w:cs="Arial"/>
          <w:color w:val="000080"/>
          <w:sz w:val="28"/>
          <w:szCs w:val="28"/>
        </w:rPr>
        <w:lastRenderedPageBreak/>
        <w:t xml:space="preserve">Report on </w:t>
      </w:r>
      <w:r>
        <w:rPr>
          <w:rFonts w:cs="Arial"/>
          <w:color w:val="000080"/>
          <w:sz w:val="28"/>
          <w:szCs w:val="28"/>
        </w:rPr>
        <w:t xml:space="preserve">the </w:t>
      </w:r>
      <w:r w:rsidRPr="001A6403">
        <w:rPr>
          <w:rFonts w:cs="Arial"/>
          <w:color w:val="000080"/>
          <w:sz w:val="28"/>
          <w:szCs w:val="28"/>
        </w:rPr>
        <w:t>Full Test Submission Assessment</w:t>
      </w:r>
    </w:p>
    <w:p w14:paraId="3EDC486A" w14:textId="08D9624E" w:rsidR="008038F6" w:rsidRPr="00E43F2F" w:rsidRDefault="003010F8" w:rsidP="003010F8">
      <w:pPr>
        <w:tabs>
          <w:tab w:val="left" w:pos="5103"/>
        </w:tabs>
        <w:jc w:val="center"/>
        <w:outlineLvl w:val="0"/>
        <w:rPr>
          <w:i/>
          <w:szCs w:val="22"/>
        </w:rPr>
      </w:pPr>
      <w:r w:rsidRPr="00BF36E2">
        <w:rPr>
          <w:rFonts w:cs="Arial"/>
          <w:color w:val="000080"/>
          <w:sz w:val="28"/>
          <w:szCs w:val="28"/>
        </w:rPr>
        <w:t>Test Method:</w:t>
      </w:r>
      <w:r>
        <w:rPr>
          <w:rFonts w:cs="Arial"/>
          <w:color w:val="000080"/>
          <w:sz w:val="28"/>
          <w:szCs w:val="28"/>
        </w:rPr>
        <w:t xml:space="preserve"> </w:t>
      </w:r>
      <w:r w:rsidR="00A62301" w:rsidRPr="003010F8">
        <w:rPr>
          <w:rFonts w:cs="Arial"/>
          <w:b/>
          <w:color w:val="000080"/>
          <w:sz w:val="28"/>
          <w:szCs w:val="28"/>
        </w:rPr>
        <w:t>RSMN – TM2020-04</w:t>
      </w:r>
    </w:p>
    <w:p w14:paraId="23D2EA6B" w14:textId="77777777" w:rsidR="008038F6" w:rsidRDefault="008038F6" w:rsidP="00176956">
      <w:pPr>
        <w:jc w:val="center"/>
      </w:pPr>
    </w:p>
    <w:p w14:paraId="6D77D187" w14:textId="77777777" w:rsidR="008038F6" w:rsidRPr="00324444" w:rsidRDefault="008038F6" w:rsidP="00176956">
      <w:pPr>
        <w:ind w:right="3"/>
        <w:jc w:val="both"/>
        <w:rPr>
          <w:rFonts w:ascii="Times New Roman Bold" w:hAnsi="Times New Roman Bold"/>
          <w:b/>
          <w:caps/>
          <w:sz w:val="32"/>
          <w:szCs w:val="32"/>
          <w:vertAlign w:val="superscript"/>
        </w:rPr>
      </w:pPr>
      <w:r w:rsidRPr="00324444">
        <w:rPr>
          <w:rFonts w:ascii="Times New Roman Bold" w:hAnsi="Times New Roman Bold"/>
          <w:b/>
          <w:caps/>
          <w:sz w:val="32"/>
          <w:szCs w:val="32"/>
          <w:vertAlign w:val="superscript"/>
        </w:rPr>
        <w:t>Summary of the Assessment</w:t>
      </w:r>
    </w:p>
    <w:p w14:paraId="44213BAA" w14:textId="26F87C40" w:rsidR="003A74AC" w:rsidRPr="008938AE" w:rsidRDefault="00EF177D" w:rsidP="00EF177D">
      <w:pPr>
        <w:pBdr>
          <w:top w:val="single" w:sz="4" w:space="1" w:color="auto"/>
          <w:left w:val="single" w:sz="4" w:space="4" w:color="auto"/>
          <w:bottom w:val="single" w:sz="4" w:space="1" w:color="auto"/>
          <w:right w:val="single" w:sz="4" w:space="4" w:color="auto"/>
        </w:pBdr>
        <w:ind w:right="3"/>
        <w:jc w:val="both"/>
        <w:rPr>
          <w:rFonts w:cs="Arial"/>
          <w:szCs w:val="22"/>
        </w:rPr>
      </w:pPr>
      <w:r w:rsidRPr="008938AE">
        <w:rPr>
          <w:rFonts w:cs="Arial"/>
          <w:szCs w:val="22"/>
        </w:rPr>
        <w:t xml:space="preserve">The RSMN is an </w:t>
      </w:r>
      <w:r w:rsidRPr="005713D7">
        <w:rPr>
          <w:rFonts w:cs="Arial"/>
          <w:i/>
          <w:szCs w:val="22"/>
        </w:rPr>
        <w:t>in vitro</w:t>
      </w:r>
      <w:r w:rsidRPr="008938AE">
        <w:rPr>
          <w:rFonts w:cs="Arial"/>
          <w:szCs w:val="22"/>
        </w:rPr>
        <w:t xml:space="preserve"> </w:t>
      </w:r>
      <w:r w:rsidR="00E9360A">
        <w:rPr>
          <w:rFonts w:cs="Arial"/>
          <w:szCs w:val="22"/>
        </w:rPr>
        <w:t xml:space="preserve">assay developed to address the toxicity to the genome. It is </w:t>
      </w:r>
      <w:r w:rsidR="004E73FA" w:rsidRPr="008938AE">
        <w:rPr>
          <w:rFonts w:cs="Arial"/>
          <w:szCs w:val="22"/>
        </w:rPr>
        <w:t>an adaptation of</w:t>
      </w:r>
      <w:r w:rsidRPr="008938AE">
        <w:rPr>
          <w:rFonts w:cs="Arial"/>
          <w:szCs w:val="22"/>
        </w:rPr>
        <w:t xml:space="preserve"> </w:t>
      </w:r>
      <w:r w:rsidR="00E72376">
        <w:rPr>
          <w:rFonts w:cs="Arial"/>
          <w:szCs w:val="22"/>
        </w:rPr>
        <w:t xml:space="preserve">the </w:t>
      </w:r>
      <w:r w:rsidR="003A74AC" w:rsidRPr="008938AE">
        <w:rPr>
          <w:rFonts w:cs="Arial"/>
          <w:szCs w:val="22"/>
        </w:rPr>
        <w:t xml:space="preserve">well-established </w:t>
      </w:r>
      <w:r w:rsidR="003A74AC" w:rsidRPr="005713D7">
        <w:rPr>
          <w:rFonts w:cs="Arial"/>
          <w:i/>
          <w:szCs w:val="22"/>
        </w:rPr>
        <w:t>in vivo</w:t>
      </w:r>
      <w:r w:rsidR="003A74AC" w:rsidRPr="008938AE">
        <w:rPr>
          <w:rFonts w:cs="Arial"/>
          <w:szCs w:val="22"/>
        </w:rPr>
        <w:t xml:space="preserve"> and </w:t>
      </w:r>
      <w:r w:rsidR="003A74AC" w:rsidRPr="005713D7">
        <w:rPr>
          <w:rFonts w:cs="Arial"/>
          <w:i/>
          <w:szCs w:val="22"/>
        </w:rPr>
        <w:t>in vitro</w:t>
      </w:r>
      <w:r w:rsidR="003A74AC" w:rsidRPr="008938AE">
        <w:rPr>
          <w:rFonts w:cs="Arial"/>
          <w:szCs w:val="22"/>
        </w:rPr>
        <w:t xml:space="preserve"> micronucleus tests (OECD TG 474 (OECD, 2016c) and OECD TG487 (OECD, 2016a</w:t>
      </w:r>
      <w:r w:rsidRPr="008938AE">
        <w:rPr>
          <w:rFonts w:cs="Arial"/>
          <w:szCs w:val="22"/>
        </w:rPr>
        <w:t>)</w:t>
      </w:r>
      <w:r w:rsidR="00A973A2">
        <w:rPr>
          <w:rFonts w:cs="Arial"/>
          <w:szCs w:val="22"/>
        </w:rPr>
        <w:t>)</w:t>
      </w:r>
      <w:r w:rsidRPr="008938AE">
        <w:rPr>
          <w:rFonts w:cs="Arial"/>
          <w:szCs w:val="22"/>
        </w:rPr>
        <w:t>.</w:t>
      </w:r>
    </w:p>
    <w:p w14:paraId="1FB5E0DF" w14:textId="18D4CA7B" w:rsidR="00521C2F" w:rsidRPr="008938AE" w:rsidRDefault="003A74AC" w:rsidP="00EF177D">
      <w:pPr>
        <w:pBdr>
          <w:top w:val="single" w:sz="4" w:space="1" w:color="auto"/>
          <w:left w:val="single" w:sz="4" w:space="4" w:color="auto"/>
          <w:bottom w:val="single" w:sz="4" w:space="1" w:color="auto"/>
          <w:right w:val="single" w:sz="4" w:space="4" w:color="auto"/>
        </w:pBdr>
        <w:ind w:right="3"/>
        <w:jc w:val="both"/>
        <w:rPr>
          <w:rFonts w:cs="Arial"/>
          <w:szCs w:val="22"/>
        </w:rPr>
      </w:pPr>
      <w:r w:rsidRPr="008938AE">
        <w:rPr>
          <w:rFonts w:cs="Arial"/>
          <w:szCs w:val="22"/>
        </w:rPr>
        <w:t>The RSMN</w:t>
      </w:r>
      <w:r w:rsidR="00EF177D" w:rsidRPr="008938AE">
        <w:rPr>
          <w:rFonts w:cs="Arial"/>
          <w:szCs w:val="22"/>
        </w:rPr>
        <w:t xml:space="preserve"> has been designed in a three-dimensional recon</w:t>
      </w:r>
      <w:r w:rsidR="000A06E1" w:rsidRPr="008938AE">
        <w:rPr>
          <w:rFonts w:cs="Arial"/>
          <w:szCs w:val="22"/>
        </w:rPr>
        <w:t>structed human skin (RHS) model: the EpiDerm</w:t>
      </w:r>
      <w:r w:rsidR="000A06E1" w:rsidRPr="008938AE">
        <w:rPr>
          <w:rFonts w:cs="Arial" w:hint="eastAsia"/>
          <w:szCs w:val="22"/>
        </w:rPr>
        <w:t>™</w:t>
      </w:r>
      <w:r w:rsidR="000A06E1" w:rsidRPr="008938AE">
        <w:rPr>
          <w:rFonts w:cs="Arial"/>
          <w:szCs w:val="22"/>
        </w:rPr>
        <w:t xml:space="preserve"> (MatTek, Ashland, USA).</w:t>
      </w:r>
      <w:r w:rsidR="00EF177D" w:rsidRPr="008938AE">
        <w:rPr>
          <w:rFonts w:cs="Arial"/>
          <w:szCs w:val="22"/>
        </w:rPr>
        <w:t xml:space="preserve"> T</w:t>
      </w:r>
      <w:r w:rsidRPr="008938AE">
        <w:rPr>
          <w:rFonts w:cs="Arial"/>
          <w:szCs w:val="22"/>
        </w:rPr>
        <w:t>he EpiDerm</w:t>
      </w:r>
      <w:r w:rsidRPr="008938AE">
        <w:rPr>
          <w:rFonts w:cs="Arial" w:hint="eastAsia"/>
          <w:szCs w:val="22"/>
        </w:rPr>
        <w:t>™</w:t>
      </w:r>
      <w:r w:rsidRPr="008938AE">
        <w:rPr>
          <w:rFonts w:cs="Arial"/>
          <w:szCs w:val="22"/>
        </w:rPr>
        <w:t xml:space="preserve"> </w:t>
      </w:r>
      <w:r w:rsidR="000A06E1" w:rsidRPr="008938AE">
        <w:rPr>
          <w:rFonts w:cs="Arial"/>
          <w:szCs w:val="22"/>
        </w:rPr>
        <w:t>model</w:t>
      </w:r>
      <w:r w:rsidRPr="008938AE">
        <w:rPr>
          <w:rFonts w:cs="Arial"/>
          <w:szCs w:val="22"/>
        </w:rPr>
        <w:t xml:space="preserve"> is cultured from normal human epidermal keratinocytes derived from neo-natal foreskin tissue on specially prepared tissue culture inserts. The EpiDerm</w:t>
      </w:r>
      <w:r w:rsidRPr="008938AE">
        <w:rPr>
          <w:rFonts w:cs="Arial" w:hint="eastAsia"/>
          <w:szCs w:val="22"/>
        </w:rPr>
        <w:t>™</w:t>
      </w:r>
      <w:r w:rsidRPr="008938AE">
        <w:rPr>
          <w:rFonts w:cs="Arial"/>
          <w:szCs w:val="22"/>
        </w:rPr>
        <w:t xml:space="preserve"> resembles the structure, morphology, and xenobiotic metabolism of the human epidermis (Hu et al., 2010; Gotz et al., 2012; Hewitt et al., 2013; Yuki et al., 2013)</w:t>
      </w:r>
      <w:r w:rsidR="00521C2F" w:rsidRPr="008938AE">
        <w:rPr>
          <w:rFonts w:cs="Arial"/>
          <w:szCs w:val="22"/>
        </w:rPr>
        <w:t xml:space="preserve"> and</w:t>
      </w:r>
      <w:r w:rsidRPr="008938AE">
        <w:rPr>
          <w:rFonts w:cs="Arial"/>
          <w:szCs w:val="22"/>
        </w:rPr>
        <w:t xml:space="preserve"> it is of high biological relevance when assessing the genotoxic potential of t</w:t>
      </w:r>
      <w:r w:rsidR="00517344">
        <w:rPr>
          <w:rFonts w:cs="Arial"/>
          <w:szCs w:val="22"/>
        </w:rPr>
        <w:t>est items via</w:t>
      </w:r>
      <w:r w:rsidRPr="008938AE">
        <w:rPr>
          <w:rFonts w:cs="Arial"/>
          <w:szCs w:val="22"/>
        </w:rPr>
        <w:t xml:space="preserve"> dermal exposure route.</w:t>
      </w:r>
    </w:p>
    <w:p w14:paraId="1A1F08EC" w14:textId="045A218A" w:rsidR="00510E2C" w:rsidRPr="008938AE" w:rsidRDefault="003A74AC" w:rsidP="00521C2F">
      <w:pPr>
        <w:pBdr>
          <w:top w:val="single" w:sz="4" w:space="1" w:color="auto"/>
          <w:left w:val="single" w:sz="4" w:space="4" w:color="auto"/>
          <w:bottom w:val="single" w:sz="4" w:space="1" w:color="auto"/>
          <w:right w:val="single" w:sz="4" w:space="4" w:color="auto"/>
        </w:pBdr>
        <w:ind w:right="3"/>
        <w:jc w:val="both"/>
        <w:rPr>
          <w:rFonts w:cs="Arial"/>
          <w:szCs w:val="22"/>
        </w:rPr>
      </w:pPr>
      <w:r w:rsidRPr="008938AE">
        <w:rPr>
          <w:rFonts w:cs="Arial"/>
          <w:szCs w:val="22"/>
        </w:rPr>
        <w:t>The</w:t>
      </w:r>
      <w:r w:rsidR="00521C2F" w:rsidRPr="008938AE">
        <w:rPr>
          <w:rFonts w:cs="Arial"/>
          <w:szCs w:val="22"/>
        </w:rPr>
        <w:t xml:space="preserve"> RSMN is intended to be used within regulatory genotoxicity hazard identification testing strategies to follow up positive results from the classical </w:t>
      </w:r>
      <w:r w:rsidR="00521C2F" w:rsidRPr="005713D7">
        <w:rPr>
          <w:rFonts w:cs="Arial"/>
          <w:i/>
          <w:szCs w:val="22"/>
        </w:rPr>
        <w:t>in vitro</w:t>
      </w:r>
      <w:r w:rsidR="00521C2F" w:rsidRPr="008938AE">
        <w:rPr>
          <w:rFonts w:cs="Arial"/>
          <w:szCs w:val="22"/>
        </w:rPr>
        <w:t xml:space="preserve"> test battery, which is used as a first step. It is proposed to be used instead of </w:t>
      </w:r>
      <w:r w:rsidR="00521C2F" w:rsidRPr="005713D7">
        <w:rPr>
          <w:rFonts w:cs="Arial"/>
          <w:i/>
          <w:szCs w:val="22"/>
        </w:rPr>
        <w:t>in vivo</w:t>
      </w:r>
      <w:r w:rsidR="00521C2F" w:rsidRPr="008938AE">
        <w:rPr>
          <w:rFonts w:cs="Arial"/>
          <w:szCs w:val="22"/>
        </w:rPr>
        <w:t xml:space="preserve"> genotoxicity test methods (e.g</w:t>
      </w:r>
      <w:r w:rsidR="00EF5A8A">
        <w:rPr>
          <w:rFonts w:cs="Arial"/>
          <w:szCs w:val="22"/>
        </w:rPr>
        <w:t>.</w:t>
      </w:r>
      <w:r w:rsidR="00521C2F" w:rsidRPr="008938AE">
        <w:rPr>
          <w:rFonts w:cs="Arial"/>
          <w:szCs w:val="22"/>
        </w:rPr>
        <w:t xml:space="preserve"> OECD TG 474 (OECD, 2016c) and TG 475 (OECD, 2016b)) in the context of test items that are causing clastogenic (chromosomal breaks and translocations) </w:t>
      </w:r>
      <w:r w:rsidR="00E72376">
        <w:rPr>
          <w:rFonts w:cs="Arial"/>
          <w:szCs w:val="22"/>
        </w:rPr>
        <w:t xml:space="preserve">or </w:t>
      </w:r>
      <w:r w:rsidR="00521C2F" w:rsidRPr="008938AE">
        <w:rPr>
          <w:rFonts w:cs="Arial"/>
          <w:szCs w:val="22"/>
        </w:rPr>
        <w:t xml:space="preserve">aneugenic (abnormal number of chromosomes) effects </w:t>
      </w:r>
      <w:r w:rsidR="00521C2F" w:rsidRPr="005713D7">
        <w:rPr>
          <w:rFonts w:cs="Arial"/>
          <w:i/>
          <w:szCs w:val="22"/>
        </w:rPr>
        <w:t>in vitro</w:t>
      </w:r>
      <w:r w:rsidR="00521C2F" w:rsidRPr="008938AE">
        <w:rPr>
          <w:rFonts w:cs="Arial"/>
          <w:szCs w:val="22"/>
        </w:rPr>
        <w:t xml:space="preserve"> and are primarily associated with dermal </w:t>
      </w:r>
      <w:r w:rsidR="00510E2C" w:rsidRPr="008938AE">
        <w:rPr>
          <w:rFonts w:cs="Arial"/>
          <w:szCs w:val="22"/>
        </w:rPr>
        <w:t xml:space="preserve">exposure. </w:t>
      </w:r>
    </w:p>
    <w:p w14:paraId="51D22E92" w14:textId="609D395E" w:rsidR="00510E2C" w:rsidRPr="00A80BB0" w:rsidRDefault="00D4401F" w:rsidP="00521C2F">
      <w:pPr>
        <w:pBdr>
          <w:top w:val="single" w:sz="4" w:space="1" w:color="auto"/>
          <w:left w:val="single" w:sz="4" w:space="4" w:color="auto"/>
          <w:bottom w:val="single" w:sz="4" w:space="1" w:color="auto"/>
          <w:right w:val="single" w:sz="4" w:space="4" w:color="auto"/>
        </w:pBdr>
        <w:ind w:right="3"/>
        <w:jc w:val="both"/>
        <w:rPr>
          <w:rFonts w:cs="Arial"/>
          <w:szCs w:val="22"/>
        </w:rPr>
      </w:pPr>
      <w:r w:rsidRPr="006B395E">
        <w:rPr>
          <w:szCs w:val="22"/>
        </w:rPr>
        <w:t xml:space="preserve">The method has a potential impact on the 3Rs. It </w:t>
      </w:r>
      <w:r w:rsidRPr="006B395E">
        <w:rPr>
          <w:szCs w:val="22"/>
          <w:lang w:val="en-US"/>
        </w:rPr>
        <w:t xml:space="preserve">provides a viable follow-up solution of high human relevance for testing dermally exposed chemicals, </w:t>
      </w:r>
      <w:r w:rsidRPr="006B395E">
        <w:rPr>
          <w:szCs w:val="22"/>
        </w:rPr>
        <w:t xml:space="preserve">both </w:t>
      </w:r>
      <w:r w:rsidRPr="006B395E">
        <w:rPr>
          <w:szCs w:val="22"/>
          <w:lang w:val="en-US"/>
        </w:rPr>
        <w:t xml:space="preserve">under regulations that allow animal testing </w:t>
      </w:r>
      <w:r w:rsidRPr="006B395E">
        <w:rPr>
          <w:szCs w:val="22"/>
        </w:rPr>
        <w:t xml:space="preserve">and </w:t>
      </w:r>
      <w:r w:rsidRPr="006B395E">
        <w:rPr>
          <w:szCs w:val="22"/>
          <w:lang w:val="en-US"/>
        </w:rPr>
        <w:t xml:space="preserve">under regulations that prohibit </w:t>
      </w:r>
      <w:r w:rsidRPr="005713D7">
        <w:rPr>
          <w:i/>
          <w:szCs w:val="22"/>
          <w:lang w:val="en-US"/>
        </w:rPr>
        <w:t>in vivo</w:t>
      </w:r>
      <w:r w:rsidRPr="006B395E">
        <w:rPr>
          <w:szCs w:val="22"/>
          <w:lang w:val="en-US"/>
        </w:rPr>
        <w:t xml:space="preserve"> testing, such as the EU cosmetics regulation.</w:t>
      </w:r>
      <w:r w:rsidR="00A80BB0">
        <w:rPr>
          <w:szCs w:val="22"/>
          <w:lang w:val="en-US"/>
        </w:rPr>
        <w:t xml:space="preserve"> </w:t>
      </w:r>
    </w:p>
    <w:p w14:paraId="5ABF4320" w14:textId="4DE7A334" w:rsidR="00EF177D" w:rsidRPr="008938AE" w:rsidRDefault="00EF177D" w:rsidP="00EF177D">
      <w:pPr>
        <w:pBdr>
          <w:top w:val="single" w:sz="4" w:space="1" w:color="auto"/>
          <w:left w:val="single" w:sz="4" w:space="4" w:color="auto"/>
          <w:bottom w:val="single" w:sz="4" w:space="1" w:color="auto"/>
          <w:right w:val="single" w:sz="4" w:space="4" w:color="auto"/>
        </w:pBdr>
        <w:ind w:right="3"/>
        <w:jc w:val="both"/>
        <w:rPr>
          <w:rFonts w:cs="Arial"/>
          <w:szCs w:val="22"/>
        </w:rPr>
      </w:pPr>
      <w:r w:rsidRPr="008938AE">
        <w:rPr>
          <w:rFonts w:cs="Arial"/>
          <w:szCs w:val="22"/>
        </w:rPr>
        <w:t>The test method has undergone a full validation process thus, the T</w:t>
      </w:r>
      <w:r w:rsidR="00EF5A8A">
        <w:rPr>
          <w:rFonts w:cs="Arial"/>
          <w:szCs w:val="22"/>
        </w:rPr>
        <w:t xml:space="preserve">est </w:t>
      </w:r>
      <w:r w:rsidR="00D4401F">
        <w:rPr>
          <w:rFonts w:cs="Arial"/>
          <w:szCs w:val="22"/>
        </w:rPr>
        <w:t>S</w:t>
      </w:r>
      <w:r w:rsidR="00F5755F">
        <w:rPr>
          <w:rFonts w:cs="Arial"/>
          <w:szCs w:val="22"/>
        </w:rPr>
        <w:t>ubmitter</w:t>
      </w:r>
      <w:r w:rsidRPr="008938AE">
        <w:rPr>
          <w:rFonts w:cs="Arial"/>
          <w:szCs w:val="22"/>
        </w:rPr>
        <w:t xml:space="preserve"> requested EURL ECVA</w:t>
      </w:r>
      <w:r w:rsidR="003A74AC" w:rsidRPr="008938AE">
        <w:rPr>
          <w:rFonts w:cs="Arial"/>
          <w:szCs w:val="22"/>
        </w:rPr>
        <w:t>M to consider the RSMN assay</w:t>
      </w:r>
      <w:r w:rsidRPr="008938AE">
        <w:rPr>
          <w:rFonts w:cs="Arial"/>
          <w:szCs w:val="22"/>
        </w:rPr>
        <w:t xml:space="preserve"> for peer-review. The full </w:t>
      </w:r>
      <w:r w:rsidR="004E73FA" w:rsidRPr="008938AE">
        <w:rPr>
          <w:rFonts w:cs="Arial"/>
          <w:szCs w:val="22"/>
        </w:rPr>
        <w:t>test submission, received in</w:t>
      </w:r>
      <w:r w:rsidR="00B45D77">
        <w:rPr>
          <w:rFonts w:cs="Arial"/>
          <w:szCs w:val="22"/>
        </w:rPr>
        <w:t xml:space="preserve"> 2021</w:t>
      </w:r>
      <w:r w:rsidRPr="008938AE">
        <w:rPr>
          <w:rFonts w:cs="Arial"/>
          <w:szCs w:val="22"/>
        </w:rPr>
        <w:t>, was complete</w:t>
      </w:r>
      <w:r w:rsidR="00D4401F">
        <w:rPr>
          <w:rFonts w:cs="Arial"/>
          <w:szCs w:val="22"/>
        </w:rPr>
        <w:t>d</w:t>
      </w:r>
      <w:r w:rsidRPr="008938AE">
        <w:rPr>
          <w:rFonts w:cs="Arial"/>
          <w:szCs w:val="22"/>
        </w:rPr>
        <w:t xml:space="preserve"> in all its parts. EURL ECVAM acknowledged that the submission included a detailed test protocol (SOP) together with data annexes and bibliography describing the validation study, the properties of skin model</w:t>
      </w:r>
      <w:r w:rsidR="00D4401F">
        <w:rPr>
          <w:rFonts w:cs="Arial"/>
          <w:szCs w:val="22"/>
        </w:rPr>
        <w:t>,</w:t>
      </w:r>
      <w:r w:rsidRPr="008938AE">
        <w:rPr>
          <w:rFonts w:cs="Arial"/>
          <w:szCs w:val="22"/>
        </w:rPr>
        <w:t xml:space="preserve"> and strategic use of the RS</w:t>
      </w:r>
      <w:r w:rsidR="00510E2C" w:rsidRPr="008938AE">
        <w:rPr>
          <w:rFonts w:cs="Arial"/>
          <w:szCs w:val="22"/>
        </w:rPr>
        <w:t>MN</w:t>
      </w:r>
      <w:r w:rsidRPr="008938AE">
        <w:rPr>
          <w:rFonts w:cs="Arial"/>
          <w:szCs w:val="22"/>
        </w:rPr>
        <w:t xml:space="preserve">, including in regulatory context i.e., under Cosmetics Regulation. </w:t>
      </w:r>
    </w:p>
    <w:p w14:paraId="767F1BC8" w14:textId="35C3BD1A" w:rsidR="00EF177D" w:rsidRDefault="00EF177D" w:rsidP="00EF177D">
      <w:pPr>
        <w:pBdr>
          <w:top w:val="single" w:sz="4" w:space="1" w:color="auto"/>
          <w:left w:val="single" w:sz="4" w:space="4" w:color="auto"/>
          <w:bottom w:val="single" w:sz="4" w:space="1" w:color="auto"/>
          <w:right w:val="single" w:sz="4" w:space="4" w:color="auto"/>
        </w:pBdr>
        <w:ind w:right="3"/>
        <w:jc w:val="both"/>
        <w:rPr>
          <w:rFonts w:cs="Arial"/>
          <w:szCs w:val="22"/>
        </w:rPr>
      </w:pPr>
      <w:r w:rsidRPr="008938AE">
        <w:rPr>
          <w:rFonts w:cs="Arial"/>
          <w:szCs w:val="22"/>
        </w:rPr>
        <w:t xml:space="preserve">EURL ECVAM was able to assess the test method’s readiness </w:t>
      </w:r>
      <w:r w:rsidR="00F83392">
        <w:rPr>
          <w:rFonts w:cs="Arial"/>
          <w:szCs w:val="22"/>
        </w:rPr>
        <w:t xml:space="preserve">to enter peer review </w:t>
      </w:r>
      <w:r w:rsidRPr="008938AE">
        <w:rPr>
          <w:rFonts w:cs="Arial"/>
          <w:szCs w:val="22"/>
        </w:rPr>
        <w:t>by evaluating the completeness and quality of the information provided for each of the following relevant module</w:t>
      </w:r>
      <w:r w:rsidR="00C42F9A">
        <w:rPr>
          <w:rFonts w:cs="Arial"/>
          <w:szCs w:val="22"/>
        </w:rPr>
        <w:t>s</w:t>
      </w:r>
      <w:r w:rsidRPr="008938AE">
        <w:rPr>
          <w:rFonts w:cs="Arial"/>
          <w:szCs w:val="22"/>
        </w:rPr>
        <w:t>: test definition, within-laboratory reproducibility (WLR), transferability, between-laboratory reproducibility (BLR), predictive capacity and appli</w:t>
      </w:r>
      <w:r w:rsidR="000A06E1" w:rsidRPr="008938AE">
        <w:rPr>
          <w:rFonts w:cs="Arial"/>
          <w:szCs w:val="22"/>
        </w:rPr>
        <w:t>cability domain. S</w:t>
      </w:r>
      <w:r w:rsidRPr="008938AE">
        <w:rPr>
          <w:rFonts w:cs="Arial"/>
          <w:szCs w:val="22"/>
        </w:rPr>
        <w:t xml:space="preserve">uggestions for performance standards (PS) were not </w:t>
      </w:r>
      <w:r w:rsidR="000A06E1" w:rsidRPr="008938AE">
        <w:rPr>
          <w:rFonts w:cs="Arial"/>
          <w:szCs w:val="22"/>
        </w:rPr>
        <w:t>provided</w:t>
      </w:r>
      <w:r w:rsidR="00AE5DA8">
        <w:rPr>
          <w:rFonts w:cs="Arial"/>
          <w:szCs w:val="22"/>
        </w:rPr>
        <w:t xml:space="preserve"> at this stage. </w:t>
      </w:r>
      <w:r w:rsidR="005C74F7">
        <w:rPr>
          <w:rFonts w:cs="Arial"/>
          <w:szCs w:val="22"/>
        </w:rPr>
        <w:t>Nevertheless,</w:t>
      </w:r>
      <w:r w:rsidRPr="008938AE">
        <w:rPr>
          <w:rFonts w:cs="Arial"/>
          <w:szCs w:val="22"/>
        </w:rPr>
        <w:t xml:space="preserve"> the lack of information did not affect the EURL ECVAM assessment.</w:t>
      </w:r>
    </w:p>
    <w:p w14:paraId="5105E0A1" w14:textId="5C2D2579" w:rsidR="00A80BB0" w:rsidRPr="008938AE" w:rsidRDefault="00A80BB0" w:rsidP="00EF177D">
      <w:pPr>
        <w:pBdr>
          <w:top w:val="single" w:sz="4" w:space="1" w:color="auto"/>
          <w:left w:val="single" w:sz="4" w:space="4" w:color="auto"/>
          <w:bottom w:val="single" w:sz="4" w:space="1" w:color="auto"/>
          <w:right w:val="single" w:sz="4" w:space="4" w:color="auto"/>
        </w:pBdr>
        <w:ind w:right="3"/>
        <w:jc w:val="both"/>
        <w:rPr>
          <w:rFonts w:cs="Arial"/>
          <w:szCs w:val="22"/>
        </w:rPr>
      </w:pPr>
      <w:r w:rsidRPr="008938AE">
        <w:rPr>
          <w:rFonts w:cs="Arial"/>
          <w:szCs w:val="22"/>
        </w:rPr>
        <w:t>The Test Submitter highlighted that the RSMN can be used together with the RS Comet assay in order to cover all genotoxicity endpoints that usually need to be addressed for regulatory purposes (gene mutation, clastogenicity</w:t>
      </w:r>
      <w:r>
        <w:rPr>
          <w:rFonts w:cs="Arial"/>
          <w:szCs w:val="22"/>
        </w:rPr>
        <w:t>,</w:t>
      </w:r>
      <w:r w:rsidRPr="008938AE">
        <w:rPr>
          <w:rFonts w:cs="Arial"/>
          <w:szCs w:val="22"/>
        </w:rPr>
        <w:t xml:space="preserve"> and aneugenicity).</w:t>
      </w:r>
    </w:p>
    <w:p w14:paraId="5F8A0D54" w14:textId="68C6D203" w:rsidR="00EF177D" w:rsidRPr="00D343FA" w:rsidRDefault="00EF177D" w:rsidP="00176956">
      <w:pPr>
        <w:pBdr>
          <w:top w:val="single" w:sz="4" w:space="1" w:color="auto"/>
          <w:left w:val="single" w:sz="4" w:space="4" w:color="auto"/>
          <w:bottom w:val="single" w:sz="4" w:space="1" w:color="auto"/>
          <w:right w:val="single" w:sz="4" w:space="4" w:color="auto"/>
        </w:pBdr>
        <w:ind w:right="3"/>
        <w:jc w:val="both"/>
        <w:rPr>
          <w:rFonts w:cs="Arial"/>
          <w:szCs w:val="22"/>
        </w:rPr>
      </w:pPr>
      <w:r w:rsidRPr="008938AE">
        <w:rPr>
          <w:rFonts w:cs="Arial"/>
          <w:szCs w:val="22"/>
        </w:rPr>
        <w:t xml:space="preserve">Based on the mechanistic and biological relevance of the test method and provided information, EURL ECVAM </w:t>
      </w:r>
      <w:r w:rsidR="008A1304">
        <w:rPr>
          <w:szCs w:val="22"/>
        </w:rPr>
        <w:t xml:space="preserve">concludes that </w:t>
      </w:r>
      <w:r w:rsidR="008A1304" w:rsidRPr="008938AE">
        <w:rPr>
          <w:rFonts w:cs="Arial"/>
          <w:szCs w:val="22"/>
        </w:rPr>
        <w:t xml:space="preserve">RSMN assay </w:t>
      </w:r>
      <w:r w:rsidR="005C74F7">
        <w:rPr>
          <w:szCs w:val="22"/>
        </w:rPr>
        <w:t>is ready to undergo to</w:t>
      </w:r>
      <w:r w:rsidR="008A1304">
        <w:rPr>
          <w:szCs w:val="22"/>
        </w:rPr>
        <w:t xml:space="preserve"> peer review.</w:t>
      </w:r>
      <w:r w:rsidR="000A06E1" w:rsidRPr="008938AE">
        <w:rPr>
          <w:rFonts w:cs="Arial"/>
          <w:szCs w:val="22"/>
        </w:rPr>
        <w:t xml:space="preserve"> </w:t>
      </w:r>
    </w:p>
    <w:p w14:paraId="61EA6EFC" w14:textId="77777777" w:rsidR="008038F6" w:rsidRDefault="008038F6" w:rsidP="00176956">
      <w:pPr>
        <w:ind w:right="3"/>
        <w:jc w:val="both"/>
        <w:rPr>
          <w:rFonts w:ascii="Times New Roman Bold" w:hAnsi="Times New Roman Bold"/>
          <w:b/>
          <w:caps/>
          <w:sz w:val="32"/>
          <w:szCs w:val="32"/>
          <w:vertAlign w:val="superscript"/>
        </w:rPr>
      </w:pPr>
      <w:bookmarkStart w:id="0" w:name="_Toc190087969"/>
      <w:bookmarkStart w:id="1" w:name="_Toc205018325"/>
      <w:bookmarkStart w:id="2" w:name="_Toc260759889"/>
    </w:p>
    <w:p w14:paraId="79B0B699" w14:textId="77777777" w:rsidR="008038F6" w:rsidRPr="00324444" w:rsidRDefault="008038F6" w:rsidP="00176956">
      <w:pPr>
        <w:ind w:right="3"/>
        <w:jc w:val="both"/>
        <w:rPr>
          <w:rFonts w:ascii="Times New Roman Bold" w:hAnsi="Times New Roman Bold"/>
          <w:b/>
          <w:caps/>
          <w:sz w:val="32"/>
          <w:szCs w:val="32"/>
          <w:vertAlign w:val="superscript"/>
        </w:rPr>
      </w:pPr>
      <w:r w:rsidRPr="00324444">
        <w:rPr>
          <w:rFonts w:ascii="Times New Roman Bold" w:hAnsi="Times New Roman Bold"/>
          <w:b/>
          <w:caps/>
          <w:sz w:val="32"/>
          <w:szCs w:val="32"/>
          <w:vertAlign w:val="superscript"/>
        </w:rPr>
        <w:t xml:space="preserve">1. MODULE 1: TEST DEFINITION </w:t>
      </w:r>
    </w:p>
    <w:p w14:paraId="0B5A11DB" w14:textId="77777777" w:rsidR="008038F6" w:rsidRPr="00324444" w:rsidRDefault="008038F6" w:rsidP="00176956">
      <w:pPr>
        <w:ind w:right="3"/>
        <w:jc w:val="both"/>
        <w:rPr>
          <w:rFonts w:cs="Arial"/>
          <w:b/>
        </w:rPr>
      </w:pPr>
      <w:r w:rsidRPr="00324444">
        <w:rPr>
          <w:rFonts w:cs="Arial"/>
          <w:b/>
        </w:rPr>
        <w:lastRenderedPageBreak/>
        <w:t>1.1 Human health/environmental/biological effect addressed by the test method and biological/ mechanistic relevance</w:t>
      </w:r>
    </w:p>
    <w:p w14:paraId="5679B3D5" w14:textId="348FBB9A" w:rsidR="00E37008" w:rsidRPr="008938AE" w:rsidRDefault="00D4401F" w:rsidP="00176956">
      <w:pPr>
        <w:pBdr>
          <w:top w:val="single" w:sz="4" w:space="1" w:color="auto"/>
          <w:left w:val="single" w:sz="4" w:space="4" w:color="auto"/>
          <w:bottom w:val="single" w:sz="4" w:space="1" w:color="auto"/>
          <w:right w:val="single" w:sz="4" w:space="4" w:color="auto"/>
        </w:pBdr>
        <w:ind w:right="3"/>
        <w:jc w:val="both"/>
        <w:rPr>
          <w:rFonts w:cs="Arial"/>
          <w:i/>
          <w:szCs w:val="22"/>
        </w:rPr>
      </w:pPr>
      <w:r>
        <w:rPr>
          <w:rFonts w:cs="Arial"/>
          <w:szCs w:val="22"/>
        </w:rPr>
        <w:t>The T</w:t>
      </w:r>
      <w:r w:rsidR="00F5755F">
        <w:rPr>
          <w:rFonts w:cs="Arial"/>
          <w:szCs w:val="22"/>
        </w:rPr>
        <w:t xml:space="preserve">est </w:t>
      </w:r>
      <w:r>
        <w:rPr>
          <w:rFonts w:cs="Arial"/>
          <w:szCs w:val="22"/>
        </w:rPr>
        <w:t>S</w:t>
      </w:r>
      <w:r w:rsidR="00F5755F">
        <w:rPr>
          <w:rFonts w:cs="Arial"/>
          <w:szCs w:val="22"/>
        </w:rPr>
        <w:t>ubmitter</w:t>
      </w:r>
      <w:r w:rsidR="00A62301">
        <w:rPr>
          <w:rFonts w:cs="Arial"/>
          <w:szCs w:val="22"/>
        </w:rPr>
        <w:t xml:space="preserve"> has adequately addressed</w:t>
      </w:r>
      <w:r w:rsidR="00A62301" w:rsidRPr="002648EB">
        <w:rPr>
          <w:rFonts w:cs="Arial"/>
          <w:szCs w:val="22"/>
        </w:rPr>
        <w:t xml:space="preserve"> the human health/environmental effect and the biological and mechanistic relevance of the RSMN </w:t>
      </w:r>
      <w:r w:rsidR="008938AE">
        <w:rPr>
          <w:rFonts w:cs="Arial"/>
          <w:szCs w:val="22"/>
        </w:rPr>
        <w:t>a</w:t>
      </w:r>
      <w:r w:rsidR="00A62301" w:rsidRPr="002648EB">
        <w:rPr>
          <w:rFonts w:cs="Arial"/>
          <w:szCs w:val="22"/>
        </w:rPr>
        <w:t xml:space="preserve">ssay, which are supported by the relevant references, including reference to OECD TG 474 and 487. </w:t>
      </w:r>
    </w:p>
    <w:p w14:paraId="7459A581" w14:textId="77777777" w:rsidR="008038F6" w:rsidRDefault="008038F6" w:rsidP="00176956">
      <w:pPr>
        <w:ind w:right="3"/>
        <w:jc w:val="both"/>
        <w:rPr>
          <w:rFonts w:cs="Arial"/>
          <w:b/>
        </w:rPr>
      </w:pPr>
    </w:p>
    <w:p w14:paraId="2E2F4B76" w14:textId="77777777" w:rsidR="008038F6" w:rsidRPr="00324444" w:rsidRDefault="008038F6" w:rsidP="00176956">
      <w:pPr>
        <w:ind w:right="3"/>
        <w:jc w:val="both"/>
        <w:rPr>
          <w:rFonts w:cs="Arial"/>
          <w:b/>
        </w:rPr>
      </w:pPr>
      <w:r w:rsidRPr="00324444">
        <w:rPr>
          <w:rFonts w:cs="Arial"/>
          <w:b/>
        </w:rPr>
        <w:t>1.2 Purpose and need of the test method</w:t>
      </w:r>
    </w:p>
    <w:p w14:paraId="42190C56" w14:textId="7C9909EA" w:rsidR="00ED0038" w:rsidRPr="008938AE" w:rsidRDefault="00480AE4" w:rsidP="00176956">
      <w:pPr>
        <w:pBdr>
          <w:top w:val="single" w:sz="4" w:space="1" w:color="auto"/>
          <w:left w:val="single" w:sz="4" w:space="4" w:color="auto"/>
          <w:bottom w:val="single" w:sz="4" w:space="1" w:color="auto"/>
          <w:right w:val="single" w:sz="4" w:space="4" w:color="auto"/>
        </w:pBdr>
        <w:ind w:right="3"/>
        <w:jc w:val="both"/>
        <w:rPr>
          <w:rFonts w:cs="Arial"/>
          <w:szCs w:val="22"/>
        </w:rPr>
      </w:pPr>
      <w:r w:rsidRPr="008938AE">
        <w:rPr>
          <w:rFonts w:cs="Arial"/>
          <w:szCs w:val="22"/>
        </w:rPr>
        <w:t xml:space="preserve">The </w:t>
      </w:r>
      <w:r w:rsidR="00F5755F">
        <w:rPr>
          <w:rFonts w:cs="Arial"/>
          <w:szCs w:val="22"/>
        </w:rPr>
        <w:t>Test Submitter</w:t>
      </w:r>
      <w:r w:rsidRPr="008938AE">
        <w:rPr>
          <w:rFonts w:cs="Arial"/>
          <w:szCs w:val="22"/>
        </w:rPr>
        <w:t xml:space="preserve"> has addressed the intended purpose, the need for the test method, and its regulatory application.</w:t>
      </w:r>
      <w:r w:rsidR="00675EA6" w:rsidRPr="008938AE">
        <w:rPr>
          <w:rFonts w:cs="Arial"/>
          <w:szCs w:val="22"/>
        </w:rPr>
        <w:t xml:space="preserve"> </w:t>
      </w:r>
    </w:p>
    <w:p w14:paraId="12CC7A3B" w14:textId="0CBF4C63" w:rsidR="00426432" w:rsidRPr="008938AE" w:rsidRDefault="00ED0038" w:rsidP="00176956">
      <w:pPr>
        <w:pBdr>
          <w:top w:val="single" w:sz="4" w:space="1" w:color="auto"/>
          <w:left w:val="single" w:sz="4" w:space="4" w:color="auto"/>
          <w:bottom w:val="single" w:sz="4" w:space="1" w:color="auto"/>
          <w:right w:val="single" w:sz="4" w:space="4" w:color="auto"/>
        </w:pBdr>
        <w:ind w:right="3"/>
        <w:jc w:val="both"/>
        <w:rPr>
          <w:szCs w:val="22"/>
        </w:rPr>
      </w:pPr>
      <w:r w:rsidRPr="009078E5">
        <w:rPr>
          <w:szCs w:val="22"/>
        </w:rPr>
        <w:t>The method has a potential impact on the 3Rs</w:t>
      </w:r>
      <w:r w:rsidR="009078E5" w:rsidRPr="009078E5">
        <w:rPr>
          <w:szCs w:val="22"/>
        </w:rPr>
        <w:t>. It</w:t>
      </w:r>
      <w:r w:rsidRPr="009078E5">
        <w:rPr>
          <w:szCs w:val="22"/>
        </w:rPr>
        <w:t xml:space="preserve"> </w:t>
      </w:r>
      <w:r w:rsidRPr="009078E5">
        <w:rPr>
          <w:szCs w:val="22"/>
          <w:lang w:val="en-US"/>
        </w:rPr>
        <w:t>provide</w:t>
      </w:r>
      <w:r w:rsidR="009078E5" w:rsidRPr="009078E5">
        <w:rPr>
          <w:szCs w:val="22"/>
          <w:lang w:val="en-US"/>
        </w:rPr>
        <w:t>s</w:t>
      </w:r>
      <w:r w:rsidRPr="009078E5">
        <w:rPr>
          <w:szCs w:val="22"/>
          <w:lang w:val="en-US"/>
        </w:rPr>
        <w:t xml:space="preserve"> a viable follow-up solution of high human relevance for testing dermally exposed chemicals, </w:t>
      </w:r>
      <w:r w:rsidRPr="009078E5">
        <w:rPr>
          <w:szCs w:val="22"/>
        </w:rPr>
        <w:t xml:space="preserve">both </w:t>
      </w:r>
      <w:r w:rsidRPr="009078E5">
        <w:rPr>
          <w:szCs w:val="22"/>
          <w:lang w:val="en-US"/>
        </w:rPr>
        <w:t xml:space="preserve">under regulations that allow animal testing, </w:t>
      </w:r>
      <w:r w:rsidRPr="009078E5">
        <w:rPr>
          <w:szCs w:val="22"/>
        </w:rPr>
        <w:t xml:space="preserve">and </w:t>
      </w:r>
      <w:r w:rsidRPr="009078E5">
        <w:rPr>
          <w:szCs w:val="22"/>
          <w:lang w:val="en-US"/>
        </w:rPr>
        <w:t xml:space="preserve">under regulations that prohibit </w:t>
      </w:r>
      <w:r w:rsidRPr="005713D7">
        <w:rPr>
          <w:i/>
          <w:szCs w:val="22"/>
          <w:lang w:val="en-US"/>
        </w:rPr>
        <w:t>in vivo</w:t>
      </w:r>
      <w:r w:rsidRPr="009078E5">
        <w:rPr>
          <w:szCs w:val="22"/>
          <w:lang w:val="en-US"/>
        </w:rPr>
        <w:t xml:space="preserve"> testing, such as the EU cosmetics regulation.</w:t>
      </w:r>
    </w:p>
    <w:p w14:paraId="1DC6E883" w14:textId="75AB83C2" w:rsidR="00DC4400" w:rsidRPr="008938AE" w:rsidRDefault="00DC4400" w:rsidP="00176956">
      <w:pPr>
        <w:pBdr>
          <w:top w:val="single" w:sz="4" w:space="1" w:color="auto"/>
          <w:left w:val="single" w:sz="4" w:space="4" w:color="auto"/>
          <w:bottom w:val="single" w:sz="4" w:space="1" w:color="auto"/>
          <w:right w:val="single" w:sz="4" w:space="4" w:color="auto"/>
        </w:pBdr>
        <w:ind w:right="3"/>
        <w:jc w:val="both"/>
        <w:rPr>
          <w:rFonts w:cs="Arial"/>
          <w:i/>
          <w:szCs w:val="22"/>
        </w:rPr>
      </w:pPr>
      <w:r w:rsidRPr="008938AE">
        <w:rPr>
          <w:szCs w:val="22"/>
        </w:rPr>
        <w:t>To be noted that animal reagents such a</w:t>
      </w:r>
      <w:r w:rsidR="009078E5">
        <w:rPr>
          <w:szCs w:val="22"/>
        </w:rPr>
        <w:t>s BSA (bovine serum albumin) is</w:t>
      </w:r>
      <w:r w:rsidRPr="008938AE">
        <w:rPr>
          <w:szCs w:val="22"/>
        </w:rPr>
        <w:t xml:space="preserve"> re</w:t>
      </w:r>
      <w:r w:rsidR="009078E5">
        <w:rPr>
          <w:szCs w:val="22"/>
        </w:rPr>
        <w:t xml:space="preserve">quired for culturing the cells in the </w:t>
      </w:r>
      <w:r w:rsidR="00426432" w:rsidRPr="008938AE">
        <w:rPr>
          <w:szCs w:val="22"/>
        </w:rPr>
        <w:t>EpiDerm</w:t>
      </w:r>
      <w:r w:rsidR="00426432" w:rsidRPr="008938AE">
        <w:rPr>
          <w:rFonts w:hint="eastAsia"/>
          <w:szCs w:val="22"/>
        </w:rPr>
        <w:t>™</w:t>
      </w:r>
      <w:r w:rsidR="009078E5">
        <w:rPr>
          <w:szCs w:val="22"/>
        </w:rPr>
        <w:t xml:space="preserve"> skin model</w:t>
      </w:r>
      <w:r w:rsidR="00426432" w:rsidRPr="008938AE">
        <w:rPr>
          <w:szCs w:val="22"/>
        </w:rPr>
        <w:t xml:space="preserve"> </w:t>
      </w:r>
      <w:r w:rsidR="00EF5A8A">
        <w:rPr>
          <w:szCs w:val="22"/>
        </w:rPr>
        <w:t>and making the trypsin neutralis</w:t>
      </w:r>
      <w:r w:rsidR="00426432" w:rsidRPr="008938AE">
        <w:rPr>
          <w:szCs w:val="22"/>
        </w:rPr>
        <w:t xml:space="preserve">ing solution. </w:t>
      </w:r>
    </w:p>
    <w:p w14:paraId="2A85F761" w14:textId="77777777" w:rsidR="008038F6" w:rsidRDefault="008038F6" w:rsidP="00176956">
      <w:pPr>
        <w:ind w:right="3"/>
        <w:jc w:val="both"/>
        <w:rPr>
          <w:i/>
          <w:szCs w:val="22"/>
        </w:rPr>
      </w:pPr>
    </w:p>
    <w:p w14:paraId="706FFDEE" w14:textId="77777777" w:rsidR="008038F6" w:rsidRDefault="00C24E4E" w:rsidP="00176956">
      <w:pPr>
        <w:ind w:right="3"/>
        <w:jc w:val="both"/>
        <w:rPr>
          <w:b/>
          <w:szCs w:val="22"/>
        </w:rPr>
      </w:pPr>
      <w:r>
        <w:rPr>
          <w:b/>
          <w:szCs w:val="22"/>
        </w:rPr>
        <w:t>1.3</w:t>
      </w:r>
      <w:r w:rsidR="008038F6">
        <w:rPr>
          <w:b/>
          <w:szCs w:val="22"/>
        </w:rPr>
        <w:t xml:space="preserve"> Protocol</w:t>
      </w:r>
      <w:r>
        <w:rPr>
          <w:b/>
          <w:szCs w:val="22"/>
        </w:rPr>
        <w:t>(s)</w:t>
      </w:r>
      <w:r w:rsidR="008038F6">
        <w:rPr>
          <w:b/>
          <w:szCs w:val="22"/>
        </w:rPr>
        <w:t xml:space="preserve"> of the test method</w:t>
      </w:r>
    </w:p>
    <w:p w14:paraId="136D8E6C" w14:textId="42C050D8" w:rsidR="002F2C9D" w:rsidRPr="008938AE" w:rsidRDefault="002F2C9D" w:rsidP="002F2C9D">
      <w:pPr>
        <w:pBdr>
          <w:top w:val="single" w:sz="4" w:space="1" w:color="auto"/>
          <w:left w:val="single" w:sz="4" w:space="4" w:color="auto"/>
          <w:bottom w:val="single" w:sz="4" w:space="1" w:color="auto"/>
          <w:right w:val="single" w:sz="4" w:space="4" w:color="auto"/>
        </w:pBdr>
        <w:ind w:right="3"/>
        <w:jc w:val="both"/>
        <w:rPr>
          <w:rFonts w:cs="Arial"/>
          <w:szCs w:val="22"/>
          <w:highlight w:val="yellow"/>
        </w:rPr>
      </w:pPr>
      <w:r w:rsidRPr="008938AE">
        <w:rPr>
          <w:rFonts w:cs="Arial"/>
          <w:szCs w:val="22"/>
        </w:rPr>
        <w:t>A detailed protocol</w:t>
      </w:r>
      <w:r w:rsidR="000A0210" w:rsidRPr="008938AE">
        <w:rPr>
          <w:rFonts w:cs="Arial"/>
          <w:szCs w:val="22"/>
        </w:rPr>
        <w:t>, which</w:t>
      </w:r>
      <w:r w:rsidRPr="008938AE">
        <w:rPr>
          <w:rFonts w:cs="Arial"/>
          <w:szCs w:val="22"/>
        </w:rPr>
        <w:t xml:space="preserve"> </w:t>
      </w:r>
      <w:r w:rsidR="000A0210" w:rsidRPr="008938AE">
        <w:rPr>
          <w:rFonts w:cs="Arial"/>
          <w:szCs w:val="22"/>
        </w:rPr>
        <w:t xml:space="preserve">describes all essential procedural elements, </w:t>
      </w:r>
      <w:r w:rsidRPr="008938AE">
        <w:rPr>
          <w:rFonts w:cs="Arial"/>
          <w:szCs w:val="22"/>
        </w:rPr>
        <w:t>has been pro</w:t>
      </w:r>
      <w:r w:rsidR="00D4401F">
        <w:rPr>
          <w:rFonts w:cs="Arial"/>
          <w:szCs w:val="22"/>
        </w:rPr>
        <w:t xml:space="preserve">vided in Attachment 1 of the </w:t>
      </w:r>
      <w:r w:rsidR="00A65253">
        <w:rPr>
          <w:rFonts w:cs="Arial"/>
          <w:szCs w:val="22"/>
        </w:rPr>
        <w:t>Test Submission Template</w:t>
      </w:r>
      <w:r w:rsidR="00D4401F">
        <w:rPr>
          <w:rFonts w:cs="Arial"/>
          <w:szCs w:val="22"/>
        </w:rPr>
        <w:t xml:space="preserve"> (TST</w:t>
      </w:r>
      <w:r w:rsidR="00A65253">
        <w:rPr>
          <w:rFonts w:cs="Arial"/>
          <w:szCs w:val="22"/>
        </w:rPr>
        <w:t>)</w:t>
      </w:r>
      <w:r w:rsidRPr="008938AE">
        <w:rPr>
          <w:rFonts w:cs="Arial"/>
          <w:szCs w:val="22"/>
        </w:rPr>
        <w:t>. Several critical protocol steps are also flagged in the protocol and in the TST (</w:t>
      </w:r>
      <w:r w:rsidR="008938AE" w:rsidRPr="008938AE">
        <w:rPr>
          <w:rFonts w:cs="Arial"/>
          <w:szCs w:val="22"/>
        </w:rPr>
        <w:t>paragraph</w:t>
      </w:r>
      <w:r w:rsidRPr="008938AE">
        <w:rPr>
          <w:rFonts w:cs="Arial"/>
          <w:szCs w:val="22"/>
        </w:rPr>
        <w:t xml:space="preserve"> 2.1.6.i).</w:t>
      </w:r>
    </w:p>
    <w:p w14:paraId="6CFD7B8E" w14:textId="18CC8B5F" w:rsidR="002F2C9D" w:rsidRPr="002F2C9D" w:rsidRDefault="002F2C9D" w:rsidP="002F2C9D">
      <w:pPr>
        <w:pBdr>
          <w:top w:val="single" w:sz="4" w:space="1" w:color="auto"/>
          <w:left w:val="single" w:sz="4" w:space="4" w:color="auto"/>
          <w:bottom w:val="single" w:sz="4" w:space="1" w:color="auto"/>
          <w:right w:val="single" w:sz="4" w:space="4" w:color="auto"/>
        </w:pBdr>
        <w:ind w:right="3"/>
        <w:jc w:val="both"/>
        <w:rPr>
          <w:rFonts w:cs="Arial"/>
          <w:szCs w:val="22"/>
        </w:rPr>
      </w:pPr>
      <w:r w:rsidRPr="002F2C9D">
        <w:rPr>
          <w:rFonts w:cs="Arial"/>
          <w:szCs w:val="22"/>
        </w:rPr>
        <w:t xml:space="preserve">The protocol is based on the principles described in OECD TG 487 on the </w:t>
      </w:r>
      <w:r w:rsidRPr="002F2C9D">
        <w:rPr>
          <w:rFonts w:cs="Arial"/>
          <w:i/>
          <w:szCs w:val="22"/>
        </w:rPr>
        <w:t>in vitro</w:t>
      </w:r>
      <w:r w:rsidRPr="002F2C9D">
        <w:rPr>
          <w:rFonts w:cs="Arial"/>
          <w:szCs w:val="22"/>
        </w:rPr>
        <w:t xml:space="preserve"> micronucleus assay. The protocol described in the submitted SOP is related to the latest validation phases (Phases 2c and 2d) (Pfu</w:t>
      </w:r>
      <w:r w:rsidR="00B45D77">
        <w:rPr>
          <w:rFonts w:cs="Arial"/>
          <w:szCs w:val="22"/>
        </w:rPr>
        <w:t>hler et al. 2021). The submitted</w:t>
      </w:r>
      <w:r w:rsidRPr="002F2C9D">
        <w:rPr>
          <w:rFonts w:cs="Arial"/>
          <w:szCs w:val="22"/>
        </w:rPr>
        <w:t xml:space="preserve"> protocol evolved from the one previously described by Dahl et al. (2011) and has been updated over different phases of the validation</w:t>
      </w:r>
      <w:r w:rsidR="00D36040">
        <w:rPr>
          <w:rFonts w:cs="Arial"/>
          <w:szCs w:val="22"/>
        </w:rPr>
        <w:t xml:space="preserve"> study</w:t>
      </w:r>
      <w:r w:rsidRPr="002F2C9D">
        <w:rPr>
          <w:rFonts w:cs="Arial"/>
          <w:szCs w:val="22"/>
        </w:rPr>
        <w:t xml:space="preserve">, based on observations made in the early phases (Phases 1, 2a and 2b). </w:t>
      </w:r>
      <w:r w:rsidR="00DA2DE6">
        <w:rPr>
          <w:rFonts w:cs="Arial"/>
          <w:szCs w:val="22"/>
        </w:rPr>
        <w:t xml:space="preserve">The different phases of the study are schematised in </w:t>
      </w:r>
      <w:r w:rsidR="00D343FA">
        <w:rPr>
          <w:rFonts w:cs="Arial"/>
          <w:szCs w:val="22"/>
        </w:rPr>
        <w:t>paragraph</w:t>
      </w:r>
      <w:r w:rsidR="00DA2DE6">
        <w:rPr>
          <w:rFonts w:cs="Arial"/>
          <w:szCs w:val="22"/>
        </w:rPr>
        <w:t xml:space="preserve"> 3.1 under Figure 4. Overall,</w:t>
      </w:r>
      <w:r w:rsidR="00DA2DE6" w:rsidRPr="002F2C9D">
        <w:rPr>
          <w:rFonts w:cs="Arial"/>
          <w:szCs w:val="22"/>
        </w:rPr>
        <w:t xml:space="preserve"> </w:t>
      </w:r>
      <w:r w:rsidR="00DA2DE6">
        <w:rPr>
          <w:rFonts w:cs="Arial"/>
          <w:szCs w:val="22"/>
        </w:rPr>
        <w:t>t</w:t>
      </w:r>
      <w:r w:rsidRPr="002F2C9D">
        <w:rPr>
          <w:rFonts w:cs="Arial"/>
          <w:szCs w:val="22"/>
        </w:rPr>
        <w:t>he protocol amendments are transparently described under 2.1.6 of the TST.</w:t>
      </w:r>
      <w:r w:rsidR="00DA2DE6">
        <w:rPr>
          <w:rFonts w:cs="Arial"/>
          <w:szCs w:val="22"/>
        </w:rPr>
        <w:t xml:space="preserve"> </w:t>
      </w:r>
    </w:p>
    <w:p w14:paraId="5379EAE0" w14:textId="113B9EC9" w:rsidR="002F2C9D" w:rsidRPr="002F2C9D" w:rsidRDefault="002F2C9D" w:rsidP="002F2C9D">
      <w:pPr>
        <w:pBdr>
          <w:top w:val="single" w:sz="4" w:space="1" w:color="auto"/>
          <w:left w:val="single" w:sz="4" w:space="4" w:color="auto"/>
          <w:bottom w:val="single" w:sz="4" w:space="1" w:color="auto"/>
          <w:right w:val="single" w:sz="4" w:space="4" w:color="auto"/>
        </w:pBdr>
        <w:ind w:right="3"/>
        <w:jc w:val="both"/>
        <w:rPr>
          <w:rFonts w:cs="Arial"/>
          <w:szCs w:val="22"/>
          <w:highlight w:val="yellow"/>
        </w:rPr>
      </w:pPr>
      <w:r w:rsidRPr="002F2C9D">
        <w:rPr>
          <w:rFonts w:cs="Arial"/>
          <w:szCs w:val="22"/>
        </w:rPr>
        <w:t xml:space="preserve">The tissue used </w:t>
      </w:r>
      <w:r w:rsidR="005C74F7">
        <w:rPr>
          <w:rFonts w:cs="Arial"/>
          <w:szCs w:val="22"/>
        </w:rPr>
        <w:t>(</w:t>
      </w:r>
      <w:r w:rsidRPr="002F2C9D">
        <w:rPr>
          <w:rFonts w:cs="Arial"/>
          <w:szCs w:val="22"/>
        </w:rPr>
        <w:t>Epiderm</w:t>
      </w:r>
      <w:r w:rsidRPr="002F2C9D">
        <w:rPr>
          <w:rFonts w:cs="Arial"/>
          <w:szCs w:val="22"/>
          <w:vertAlign w:val="superscript"/>
        </w:rPr>
        <w:t>TM</w:t>
      </w:r>
      <w:r w:rsidR="005C74F7">
        <w:rPr>
          <w:rFonts w:cs="Arial"/>
          <w:szCs w:val="22"/>
        </w:rPr>
        <w:t xml:space="preserve">) </w:t>
      </w:r>
      <w:r w:rsidRPr="002F2C9D">
        <w:rPr>
          <w:rFonts w:cs="Arial"/>
          <w:szCs w:val="22"/>
        </w:rPr>
        <w:t>is a registered trademark and commercially available. No other element</w:t>
      </w:r>
      <w:r w:rsidR="00B45D77">
        <w:rPr>
          <w:rFonts w:cs="Arial"/>
          <w:szCs w:val="22"/>
        </w:rPr>
        <w:t>s</w:t>
      </w:r>
      <w:r w:rsidRPr="002F2C9D">
        <w:rPr>
          <w:rFonts w:cs="Arial"/>
          <w:szCs w:val="22"/>
        </w:rPr>
        <w:t xml:space="preserve"> of the protocol are covered by </w:t>
      </w:r>
      <w:r w:rsidR="00131D0C" w:rsidRPr="002F2C9D">
        <w:rPr>
          <w:rFonts w:cs="Arial"/>
          <w:szCs w:val="22"/>
        </w:rPr>
        <w:t>proprietary</w:t>
      </w:r>
      <w:r w:rsidRPr="002F2C9D">
        <w:rPr>
          <w:rFonts w:cs="Arial"/>
          <w:szCs w:val="22"/>
        </w:rPr>
        <w:t xml:space="preserve"> issues.</w:t>
      </w:r>
    </w:p>
    <w:p w14:paraId="0734699F" w14:textId="2BC7D293" w:rsidR="002F2C9D" w:rsidRPr="002F2C9D" w:rsidRDefault="002F2C9D" w:rsidP="002F2C9D">
      <w:pPr>
        <w:pBdr>
          <w:top w:val="single" w:sz="4" w:space="1" w:color="auto"/>
          <w:left w:val="single" w:sz="4" w:space="4" w:color="auto"/>
          <w:bottom w:val="single" w:sz="4" w:space="1" w:color="auto"/>
          <w:right w:val="single" w:sz="4" w:space="4" w:color="auto"/>
        </w:pBdr>
        <w:ind w:right="3"/>
        <w:jc w:val="both"/>
        <w:rPr>
          <w:rFonts w:cs="Arial"/>
          <w:szCs w:val="22"/>
        </w:rPr>
      </w:pPr>
      <w:r w:rsidRPr="003F2680">
        <w:rPr>
          <w:rFonts w:cs="Arial"/>
          <w:szCs w:val="22"/>
        </w:rPr>
        <w:t xml:space="preserve">Based on the above, EURL ECVAM considers that the protocol is </w:t>
      </w:r>
      <w:r w:rsidR="00AF0257" w:rsidRPr="003F2680">
        <w:rPr>
          <w:rFonts w:cs="Arial"/>
          <w:szCs w:val="22"/>
        </w:rPr>
        <w:t xml:space="preserve">clearly described and seems </w:t>
      </w:r>
      <w:r w:rsidRPr="003F2680">
        <w:rPr>
          <w:rFonts w:cs="Arial"/>
          <w:szCs w:val="22"/>
        </w:rPr>
        <w:t xml:space="preserve">adequate to be performed by a naïve laboratory, where a standard technical expertise in 3D cultures and </w:t>
      </w:r>
      <w:r w:rsidRPr="003F2680">
        <w:rPr>
          <w:rFonts w:cs="Arial"/>
          <w:i/>
          <w:szCs w:val="22"/>
        </w:rPr>
        <w:t>in vitro</w:t>
      </w:r>
      <w:r w:rsidRPr="003F2680">
        <w:rPr>
          <w:rFonts w:cs="Arial"/>
          <w:szCs w:val="22"/>
        </w:rPr>
        <w:t xml:space="preserve"> genotoxicity testing is ensured, including the interpretation of data and results. In addition, expertise in integrating statistical results with an assessment of the biological relevance of effects is required to c</w:t>
      </w:r>
      <w:r w:rsidR="005C74F7">
        <w:rPr>
          <w:rFonts w:cs="Arial"/>
          <w:szCs w:val="22"/>
        </w:rPr>
        <w:t>ome to an overall conclusion for the</w:t>
      </w:r>
      <w:r w:rsidRPr="003F2680">
        <w:rPr>
          <w:rFonts w:cs="Arial"/>
          <w:szCs w:val="22"/>
        </w:rPr>
        <w:t xml:space="preserve"> test item</w:t>
      </w:r>
      <w:r w:rsidR="005C74F7">
        <w:rPr>
          <w:rFonts w:cs="Arial"/>
          <w:szCs w:val="22"/>
        </w:rPr>
        <w:t>s</w:t>
      </w:r>
      <w:r w:rsidRPr="003F2680">
        <w:rPr>
          <w:rFonts w:cs="Arial"/>
          <w:szCs w:val="22"/>
        </w:rPr>
        <w:t>.</w:t>
      </w:r>
    </w:p>
    <w:p w14:paraId="2A08259A" w14:textId="77777777" w:rsidR="008038F6" w:rsidRDefault="008038F6" w:rsidP="00176956">
      <w:pPr>
        <w:ind w:right="3"/>
        <w:jc w:val="both"/>
        <w:rPr>
          <w:i/>
          <w:szCs w:val="22"/>
        </w:rPr>
      </w:pPr>
    </w:p>
    <w:p w14:paraId="1597495C" w14:textId="77777777" w:rsidR="008038F6" w:rsidRDefault="00B0254A" w:rsidP="00176956">
      <w:pPr>
        <w:ind w:right="3"/>
        <w:jc w:val="both"/>
        <w:rPr>
          <w:b/>
          <w:szCs w:val="22"/>
        </w:rPr>
      </w:pPr>
      <w:r>
        <w:rPr>
          <w:b/>
          <w:szCs w:val="22"/>
        </w:rPr>
        <w:t>1.4</w:t>
      </w:r>
      <w:r w:rsidR="008038F6">
        <w:rPr>
          <w:b/>
          <w:szCs w:val="22"/>
        </w:rPr>
        <w:t xml:space="preserve"> Data analysis and prediction model</w:t>
      </w:r>
    </w:p>
    <w:p w14:paraId="67E5FBAD" w14:textId="3095A4B2" w:rsidR="00801C5D" w:rsidRPr="00801C5D" w:rsidRDefault="00801C5D" w:rsidP="00801C5D">
      <w:pPr>
        <w:pBdr>
          <w:top w:val="single" w:sz="4" w:space="1" w:color="auto"/>
          <w:left w:val="single" w:sz="4" w:space="4" w:color="auto"/>
          <w:bottom w:val="single" w:sz="4" w:space="1" w:color="auto"/>
          <w:right w:val="single" w:sz="4" w:space="4" w:color="auto"/>
        </w:pBdr>
        <w:ind w:right="3"/>
        <w:jc w:val="both"/>
        <w:rPr>
          <w:rFonts w:cs="Arial"/>
          <w:szCs w:val="22"/>
          <w:highlight w:val="yellow"/>
        </w:rPr>
      </w:pPr>
      <w:r w:rsidRPr="00801C5D">
        <w:rPr>
          <w:rFonts w:cs="Arial"/>
          <w:szCs w:val="22"/>
        </w:rPr>
        <w:t xml:space="preserve">The </w:t>
      </w:r>
      <w:r w:rsidR="00F5755F">
        <w:rPr>
          <w:rFonts w:cs="Arial"/>
          <w:szCs w:val="22"/>
        </w:rPr>
        <w:t>Test Submitter</w:t>
      </w:r>
      <w:r w:rsidRPr="00801C5D">
        <w:rPr>
          <w:rFonts w:cs="Arial"/>
          <w:szCs w:val="22"/>
        </w:rPr>
        <w:t xml:space="preserve"> </w:t>
      </w:r>
      <w:r w:rsidR="008123D3">
        <w:rPr>
          <w:rFonts w:cs="Arial"/>
          <w:szCs w:val="22"/>
        </w:rPr>
        <w:t xml:space="preserve">has </w:t>
      </w:r>
      <w:r w:rsidRPr="00801C5D">
        <w:rPr>
          <w:rFonts w:cs="Arial"/>
          <w:szCs w:val="22"/>
        </w:rPr>
        <w:t>described the data analysis procedure within the attached protocol</w:t>
      </w:r>
      <w:r w:rsidR="00756B83">
        <w:rPr>
          <w:rFonts w:cs="Arial"/>
          <w:szCs w:val="22"/>
        </w:rPr>
        <w:t xml:space="preserve"> (</w:t>
      </w:r>
      <w:r w:rsidR="00131D0C">
        <w:rPr>
          <w:rFonts w:cs="Arial"/>
          <w:szCs w:val="22"/>
        </w:rPr>
        <w:t>A</w:t>
      </w:r>
      <w:r w:rsidR="00756B83">
        <w:rPr>
          <w:rFonts w:cs="Arial"/>
          <w:szCs w:val="22"/>
        </w:rPr>
        <w:t>ttachment 1)</w:t>
      </w:r>
      <w:r w:rsidRPr="00801C5D">
        <w:rPr>
          <w:rFonts w:cs="Arial"/>
          <w:szCs w:val="22"/>
        </w:rPr>
        <w:t>, in the TST</w:t>
      </w:r>
      <w:r w:rsidR="00B45D77">
        <w:rPr>
          <w:rFonts w:cs="Arial"/>
          <w:szCs w:val="22"/>
        </w:rPr>
        <w:t>,</w:t>
      </w:r>
      <w:r w:rsidRPr="00801C5D">
        <w:rPr>
          <w:rFonts w:cs="Arial"/>
          <w:szCs w:val="22"/>
        </w:rPr>
        <w:t xml:space="preserve"> and in the </w:t>
      </w:r>
      <w:r w:rsidR="00B45D77">
        <w:rPr>
          <w:rFonts w:cs="Arial"/>
          <w:szCs w:val="22"/>
        </w:rPr>
        <w:t>following</w:t>
      </w:r>
      <w:r w:rsidRPr="00801C5D">
        <w:rPr>
          <w:rFonts w:cs="Arial"/>
          <w:szCs w:val="22"/>
        </w:rPr>
        <w:t xml:space="preserve"> reference: Pfuhler et al 2021. </w:t>
      </w:r>
    </w:p>
    <w:p w14:paraId="7CF510F5" w14:textId="1362CDC7" w:rsidR="00801C5D" w:rsidRPr="00335F94" w:rsidRDefault="00801C5D" w:rsidP="00801C5D">
      <w:pPr>
        <w:pBdr>
          <w:top w:val="single" w:sz="4" w:space="1" w:color="auto"/>
          <w:left w:val="single" w:sz="4" w:space="4" w:color="auto"/>
          <w:bottom w:val="single" w:sz="4" w:space="1" w:color="auto"/>
          <w:right w:val="single" w:sz="4" w:space="4" w:color="auto"/>
        </w:pBdr>
        <w:ind w:right="3"/>
        <w:jc w:val="both"/>
        <w:rPr>
          <w:rFonts w:cs="Arial"/>
          <w:szCs w:val="22"/>
        </w:rPr>
      </w:pPr>
      <w:r w:rsidRPr="00335F94">
        <w:rPr>
          <w:rFonts w:cs="Arial"/>
          <w:szCs w:val="22"/>
        </w:rPr>
        <w:t xml:space="preserve">EURL ECVAM acknowledges that data interpretation, as described within the TST text, was applied consistently to the data as reported in </w:t>
      </w:r>
      <w:r w:rsidR="00131D0C" w:rsidRPr="00335F94">
        <w:rPr>
          <w:rFonts w:cs="Arial"/>
          <w:szCs w:val="22"/>
        </w:rPr>
        <w:t>A</w:t>
      </w:r>
      <w:r w:rsidRPr="00335F94">
        <w:rPr>
          <w:rFonts w:cs="Arial"/>
          <w:szCs w:val="22"/>
        </w:rPr>
        <w:t>ttachment 9</w:t>
      </w:r>
      <w:r w:rsidRPr="00335F94">
        <w:rPr>
          <w:rFonts w:cs="Arial"/>
          <w:i/>
          <w:szCs w:val="22"/>
        </w:rPr>
        <w:t>.</w:t>
      </w:r>
      <w:r w:rsidRPr="00335F94">
        <w:rPr>
          <w:rFonts w:cs="Arial"/>
          <w:szCs w:val="22"/>
        </w:rPr>
        <w:t xml:space="preserve">  </w:t>
      </w:r>
    </w:p>
    <w:p w14:paraId="60988388" w14:textId="2600A7C8" w:rsidR="00801C5D" w:rsidRPr="00801C5D" w:rsidRDefault="00801C5D" w:rsidP="00801C5D">
      <w:pPr>
        <w:pBdr>
          <w:top w:val="single" w:sz="4" w:space="1" w:color="auto"/>
          <w:left w:val="single" w:sz="4" w:space="4" w:color="auto"/>
          <w:bottom w:val="single" w:sz="4" w:space="1" w:color="auto"/>
          <w:right w:val="single" w:sz="4" w:space="4" w:color="auto"/>
        </w:pBdr>
        <w:ind w:right="3"/>
        <w:jc w:val="both"/>
        <w:rPr>
          <w:rFonts w:cs="Arial"/>
          <w:szCs w:val="22"/>
        </w:rPr>
      </w:pPr>
      <w:r w:rsidRPr="00801C5D">
        <w:rPr>
          <w:rFonts w:cs="Arial"/>
          <w:szCs w:val="22"/>
        </w:rPr>
        <w:t>Based on the attached data files, literature references</w:t>
      </w:r>
      <w:r w:rsidR="00B45D77">
        <w:rPr>
          <w:rFonts w:cs="Arial"/>
          <w:szCs w:val="22"/>
        </w:rPr>
        <w:t>,</w:t>
      </w:r>
      <w:r w:rsidRPr="00801C5D">
        <w:rPr>
          <w:rFonts w:cs="Arial"/>
          <w:szCs w:val="22"/>
        </w:rPr>
        <w:t xml:space="preserve"> and </w:t>
      </w:r>
      <w:r w:rsidRPr="00801C5D">
        <w:rPr>
          <w:rFonts w:cs="Arial"/>
          <w:i/>
          <w:szCs w:val="22"/>
        </w:rPr>
        <w:t>ad hoc</w:t>
      </w:r>
      <w:r w:rsidRPr="00801C5D">
        <w:rPr>
          <w:rFonts w:cs="Arial"/>
          <w:szCs w:val="22"/>
        </w:rPr>
        <w:t xml:space="preserve"> supplementary information, the procedure</w:t>
      </w:r>
      <w:r w:rsidR="00E67E83">
        <w:rPr>
          <w:rFonts w:cs="Arial"/>
          <w:szCs w:val="22"/>
        </w:rPr>
        <w:t>s</w:t>
      </w:r>
      <w:r w:rsidRPr="00801C5D">
        <w:rPr>
          <w:rFonts w:cs="Arial"/>
          <w:szCs w:val="22"/>
        </w:rPr>
        <w:t xml:space="preserve"> described for experimental data processing</w:t>
      </w:r>
      <w:r w:rsidR="00E67E83">
        <w:rPr>
          <w:rFonts w:cs="Arial"/>
          <w:szCs w:val="22"/>
        </w:rPr>
        <w:t>, data</w:t>
      </w:r>
      <w:r w:rsidRPr="00801C5D">
        <w:rPr>
          <w:rFonts w:cs="Arial"/>
          <w:szCs w:val="22"/>
        </w:rPr>
        <w:t xml:space="preserve"> analysis</w:t>
      </w:r>
      <w:r w:rsidR="00E67E83">
        <w:rPr>
          <w:rFonts w:cs="Arial"/>
          <w:szCs w:val="22"/>
        </w:rPr>
        <w:t>,</w:t>
      </w:r>
      <w:r w:rsidRPr="00801C5D">
        <w:rPr>
          <w:rFonts w:cs="Arial"/>
          <w:szCs w:val="22"/>
        </w:rPr>
        <w:t xml:space="preserve"> and the prediction model/s </w:t>
      </w:r>
      <w:r w:rsidR="00E67E83">
        <w:rPr>
          <w:rFonts w:cs="Arial"/>
          <w:szCs w:val="22"/>
        </w:rPr>
        <w:t>seem</w:t>
      </w:r>
      <w:r w:rsidR="00756B83">
        <w:rPr>
          <w:rFonts w:cs="Arial"/>
          <w:szCs w:val="22"/>
        </w:rPr>
        <w:t xml:space="preserve"> </w:t>
      </w:r>
      <w:r w:rsidRPr="00801C5D">
        <w:rPr>
          <w:rFonts w:cs="Arial"/>
          <w:szCs w:val="22"/>
        </w:rPr>
        <w:t xml:space="preserve">clear and sufficiently well detailed to be reproduced. </w:t>
      </w:r>
    </w:p>
    <w:p w14:paraId="5A90ED64" w14:textId="5D0AD776" w:rsidR="008038F6" w:rsidRPr="00C72D54" w:rsidRDefault="008038F6" w:rsidP="00176956">
      <w:pPr>
        <w:ind w:right="3"/>
        <w:jc w:val="both"/>
        <w:rPr>
          <w:i/>
          <w:szCs w:val="22"/>
        </w:rPr>
      </w:pPr>
    </w:p>
    <w:p w14:paraId="04F00AAB" w14:textId="77777777" w:rsidR="008038F6" w:rsidRDefault="00B0254A" w:rsidP="00176956">
      <w:pPr>
        <w:ind w:right="3"/>
        <w:jc w:val="both"/>
        <w:rPr>
          <w:b/>
          <w:szCs w:val="22"/>
        </w:rPr>
      </w:pPr>
      <w:r>
        <w:rPr>
          <w:b/>
          <w:szCs w:val="22"/>
        </w:rPr>
        <w:t>1.5</w:t>
      </w:r>
      <w:r w:rsidR="008038F6">
        <w:rPr>
          <w:b/>
          <w:szCs w:val="22"/>
        </w:rPr>
        <w:t xml:space="preserve"> Test items used for developing and optimi</w:t>
      </w:r>
      <w:r w:rsidR="00694FAD">
        <w:rPr>
          <w:b/>
          <w:szCs w:val="22"/>
        </w:rPr>
        <w:t>s</w:t>
      </w:r>
      <w:r w:rsidR="008038F6">
        <w:rPr>
          <w:b/>
          <w:szCs w:val="22"/>
        </w:rPr>
        <w:t xml:space="preserve">ing the </w:t>
      </w:r>
      <w:r>
        <w:rPr>
          <w:b/>
          <w:szCs w:val="22"/>
        </w:rPr>
        <w:t xml:space="preserve">test method (protocol and </w:t>
      </w:r>
      <w:r w:rsidR="008038F6">
        <w:rPr>
          <w:b/>
          <w:szCs w:val="22"/>
        </w:rPr>
        <w:t>prediction model</w:t>
      </w:r>
      <w:r>
        <w:rPr>
          <w:b/>
          <w:szCs w:val="22"/>
        </w:rPr>
        <w:t>)</w:t>
      </w:r>
    </w:p>
    <w:p w14:paraId="6242443F" w14:textId="2E9ED3F4" w:rsidR="00886D2E" w:rsidRDefault="00410C98" w:rsidP="00410C98">
      <w:pPr>
        <w:pBdr>
          <w:top w:val="single" w:sz="4" w:space="1" w:color="auto"/>
          <w:left w:val="single" w:sz="4" w:space="4" w:color="auto"/>
          <w:bottom w:val="single" w:sz="4" w:space="1" w:color="auto"/>
          <w:right w:val="single" w:sz="4" w:space="4" w:color="auto"/>
        </w:pBdr>
        <w:ind w:right="3"/>
        <w:jc w:val="both"/>
      </w:pPr>
      <w:r w:rsidRPr="008938AE">
        <w:rPr>
          <w:lang w:val="en-US"/>
        </w:rPr>
        <w:t>The</w:t>
      </w:r>
      <w:r w:rsidR="00886D2E">
        <w:rPr>
          <w:lang w:val="en-US"/>
        </w:rPr>
        <w:t xml:space="preserve"> test items used for developing and optimi</w:t>
      </w:r>
      <w:r w:rsidR="00EF5A8A">
        <w:rPr>
          <w:lang w:val="en-US"/>
        </w:rPr>
        <w:t>s</w:t>
      </w:r>
      <w:r w:rsidR="00886D2E">
        <w:rPr>
          <w:lang w:val="en-US"/>
        </w:rPr>
        <w:t>ing</w:t>
      </w:r>
      <w:r w:rsidRPr="008938AE">
        <w:rPr>
          <w:lang w:val="en-US"/>
        </w:rPr>
        <w:t xml:space="preserve"> the RSMN a</w:t>
      </w:r>
      <w:r w:rsidR="00886D2E">
        <w:rPr>
          <w:lang w:val="en-US"/>
        </w:rPr>
        <w:t>re reported in Attachment 2</w:t>
      </w:r>
      <w:r w:rsidRPr="008938AE">
        <w:rPr>
          <w:lang w:val="en-US"/>
        </w:rPr>
        <w:t xml:space="preserve">. </w:t>
      </w:r>
      <w:r w:rsidR="00886D2E">
        <w:rPr>
          <w:lang w:val="en-US"/>
        </w:rPr>
        <w:t xml:space="preserve">For each test item, </w:t>
      </w:r>
      <w:r w:rsidR="00886D2E" w:rsidRPr="00886D2E">
        <w:t>CAS number</w:t>
      </w:r>
      <w:r w:rsidR="00886D2E">
        <w:t>,</w:t>
      </w:r>
      <w:r w:rsidR="00886D2E" w:rsidRPr="008938AE">
        <w:rPr>
          <w:lang w:val="en-US"/>
        </w:rPr>
        <w:t xml:space="preserve"> EC numbers</w:t>
      </w:r>
      <w:r w:rsidR="00886D2E">
        <w:rPr>
          <w:lang w:val="en-US"/>
        </w:rPr>
        <w:t xml:space="preserve"> (</w:t>
      </w:r>
      <w:r w:rsidR="00886D2E" w:rsidRPr="008938AE">
        <w:rPr>
          <w:lang w:val="en-US"/>
        </w:rPr>
        <w:t>which also contains inform</w:t>
      </w:r>
      <w:r w:rsidR="00886D2E">
        <w:rPr>
          <w:lang w:val="en-US"/>
        </w:rPr>
        <w:t>ation on the commercial supplier)</w:t>
      </w:r>
      <w:r w:rsidR="00886D2E" w:rsidRPr="00886D2E">
        <w:t xml:space="preserve">, purity, physical form, </w:t>
      </w:r>
      <w:r w:rsidR="00886D2E" w:rsidRPr="008938AE">
        <w:rPr>
          <w:lang w:val="en-US"/>
        </w:rPr>
        <w:t>chemical class/organic functional groups, molecular weight, octanol-water partition coefficient, water solubility, vapour pressure, as well as the links to websites from which the physical-chemical properties were retrieved.</w:t>
      </w:r>
    </w:p>
    <w:p w14:paraId="74BF51D0" w14:textId="20592D73" w:rsidR="007408FF" w:rsidRPr="008938AE" w:rsidRDefault="00410C98" w:rsidP="00410C98">
      <w:pPr>
        <w:pBdr>
          <w:top w:val="single" w:sz="4" w:space="1" w:color="auto"/>
          <w:left w:val="single" w:sz="4" w:space="4" w:color="auto"/>
          <w:bottom w:val="single" w:sz="4" w:space="1" w:color="auto"/>
          <w:right w:val="single" w:sz="4" w:space="4" w:color="auto"/>
        </w:pBdr>
        <w:ind w:right="3"/>
        <w:jc w:val="both"/>
        <w:rPr>
          <w:lang w:val="en-US"/>
        </w:rPr>
      </w:pPr>
      <w:r w:rsidRPr="008938AE">
        <w:rPr>
          <w:lang w:val="en-US"/>
        </w:rPr>
        <w:t>A</w:t>
      </w:r>
      <w:r w:rsidR="007408FF" w:rsidRPr="008938AE">
        <w:rPr>
          <w:lang w:val="en-US"/>
        </w:rPr>
        <w:t xml:space="preserve">ttachment </w:t>
      </w:r>
      <w:r w:rsidR="00886D2E">
        <w:rPr>
          <w:lang w:val="en-US"/>
        </w:rPr>
        <w:t>14</w:t>
      </w:r>
      <w:r w:rsidRPr="008938AE">
        <w:rPr>
          <w:lang w:val="en-US"/>
        </w:rPr>
        <w:t xml:space="preserve"> illustrates in which phases of the development, optimi</w:t>
      </w:r>
      <w:r w:rsidR="00EF5A8A">
        <w:rPr>
          <w:lang w:val="en-US"/>
        </w:rPr>
        <w:t>s</w:t>
      </w:r>
      <w:r w:rsidRPr="008938AE">
        <w:rPr>
          <w:lang w:val="en-US"/>
        </w:rPr>
        <w:t xml:space="preserve">ation or validation the different items were used. However, the related results are spread across the different following publications: Curren et al. (2006), Mun et al. (2009) and Hu et al. 2009). </w:t>
      </w:r>
    </w:p>
    <w:p w14:paraId="07D606D6" w14:textId="530BECBF" w:rsidR="00410C98" w:rsidRPr="008938AE" w:rsidRDefault="00410C98" w:rsidP="00410C98">
      <w:pPr>
        <w:pBdr>
          <w:top w:val="single" w:sz="4" w:space="1" w:color="auto"/>
          <w:left w:val="single" w:sz="4" w:space="4" w:color="auto"/>
          <w:bottom w:val="single" w:sz="4" w:space="1" w:color="auto"/>
          <w:right w:val="single" w:sz="4" w:space="4" w:color="auto"/>
        </w:pBdr>
        <w:ind w:right="3"/>
        <w:jc w:val="both"/>
        <w:rPr>
          <w:lang w:val="en-US"/>
        </w:rPr>
      </w:pPr>
      <w:r w:rsidRPr="008938AE">
        <w:rPr>
          <w:lang w:val="en-US"/>
        </w:rPr>
        <w:t>In total 9 genotoxic and 5 non-genotoxic test items were used</w:t>
      </w:r>
      <w:r w:rsidR="007408FF" w:rsidRPr="008938AE">
        <w:rPr>
          <w:lang w:val="en-US"/>
        </w:rPr>
        <w:t xml:space="preserve"> in the development and optimi</w:t>
      </w:r>
      <w:r w:rsidR="00EF5A8A">
        <w:rPr>
          <w:lang w:val="en-US"/>
        </w:rPr>
        <w:t>s</w:t>
      </w:r>
      <w:r w:rsidR="007408FF" w:rsidRPr="008938AE">
        <w:rPr>
          <w:lang w:val="en-US"/>
        </w:rPr>
        <w:t>ation phase</w:t>
      </w:r>
      <w:r w:rsidR="00886D2E">
        <w:rPr>
          <w:lang w:val="en-US"/>
        </w:rPr>
        <w:t>.</w:t>
      </w:r>
    </w:p>
    <w:p w14:paraId="38D0E282" w14:textId="67D1A5AB" w:rsidR="00410C98" w:rsidRPr="008938AE" w:rsidRDefault="00410C98" w:rsidP="00410C98">
      <w:pPr>
        <w:pBdr>
          <w:top w:val="single" w:sz="4" w:space="1" w:color="auto"/>
          <w:left w:val="single" w:sz="4" w:space="4" w:color="auto"/>
          <w:bottom w:val="single" w:sz="4" w:space="1" w:color="auto"/>
          <w:right w:val="single" w:sz="4" w:space="4" w:color="auto"/>
        </w:pBdr>
        <w:ind w:right="3"/>
        <w:jc w:val="both"/>
        <w:rPr>
          <w:rFonts w:cs="Arial"/>
          <w:i/>
          <w:szCs w:val="22"/>
        </w:rPr>
      </w:pPr>
      <w:r w:rsidRPr="008938AE">
        <w:rPr>
          <w:rFonts w:cs="Arial"/>
          <w:szCs w:val="22"/>
        </w:rPr>
        <w:t>It should be noted that the protocol was further optimised during the course of the validation study.</w:t>
      </w:r>
      <w:r w:rsidRPr="008938AE">
        <w:rPr>
          <w:rFonts w:cs="Arial"/>
          <w:i/>
          <w:szCs w:val="22"/>
        </w:rPr>
        <w:t xml:space="preserve"> </w:t>
      </w:r>
    </w:p>
    <w:p w14:paraId="42A03FC8" w14:textId="6F08614D" w:rsidR="007F238F" w:rsidRPr="008938AE" w:rsidRDefault="007F238F" w:rsidP="007F238F">
      <w:pPr>
        <w:pBdr>
          <w:top w:val="single" w:sz="4" w:space="1" w:color="auto"/>
          <w:left w:val="single" w:sz="4" w:space="4" w:color="auto"/>
          <w:bottom w:val="single" w:sz="4" w:space="1" w:color="auto"/>
          <w:right w:val="single" w:sz="4" w:space="4" w:color="auto"/>
        </w:pBdr>
        <w:ind w:right="3"/>
        <w:jc w:val="both"/>
        <w:rPr>
          <w:szCs w:val="22"/>
        </w:rPr>
      </w:pPr>
      <w:r w:rsidRPr="008938AE">
        <w:rPr>
          <w:szCs w:val="22"/>
        </w:rPr>
        <w:t>The information provided in paragraph 2.</w:t>
      </w:r>
      <w:r w:rsidR="00074F84">
        <w:rPr>
          <w:szCs w:val="22"/>
        </w:rPr>
        <w:t>1.7 of the TST is</w:t>
      </w:r>
      <w:r w:rsidRPr="008938AE">
        <w:rPr>
          <w:szCs w:val="22"/>
        </w:rPr>
        <w:t xml:space="preserve"> consistent with the history of the test method development Attachment 14.</w:t>
      </w:r>
    </w:p>
    <w:p w14:paraId="70CD88A1" w14:textId="0128CED1" w:rsidR="007F238F" w:rsidRPr="008938AE" w:rsidRDefault="007F238F" w:rsidP="00410C98">
      <w:pPr>
        <w:pBdr>
          <w:top w:val="single" w:sz="4" w:space="1" w:color="auto"/>
          <w:left w:val="single" w:sz="4" w:space="4" w:color="auto"/>
          <w:bottom w:val="single" w:sz="4" w:space="1" w:color="auto"/>
          <w:right w:val="single" w:sz="4" w:space="4" w:color="auto"/>
        </w:pBdr>
        <w:ind w:right="3"/>
        <w:jc w:val="both"/>
        <w:rPr>
          <w:rFonts w:cs="Arial"/>
          <w:i/>
          <w:szCs w:val="22"/>
        </w:rPr>
      </w:pPr>
      <w:r w:rsidRPr="008938AE">
        <w:rPr>
          <w:szCs w:val="22"/>
        </w:rPr>
        <w:t>Overall, EURL ECVAM considers that the test items used for developing and optimising the test method (protocol and prediction m</w:t>
      </w:r>
      <w:r w:rsidR="00AF0257" w:rsidRPr="008938AE">
        <w:rPr>
          <w:szCs w:val="22"/>
        </w:rPr>
        <w:t>odel) were clearly reported</w:t>
      </w:r>
      <w:r w:rsidRPr="008938AE">
        <w:rPr>
          <w:szCs w:val="22"/>
        </w:rPr>
        <w:t>.</w:t>
      </w:r>
    </w:p>
    <w:p w14:paraId="67F3DE7A" w14:textId="77777777" w:rsidR="008038F6" w:rsidRDefault="008038F6" w:rsidP="00176956">
      <w:pPr>
        <w:ind w:right="3"/>
        <w:jc w:val="both"/>
        <w:rPr>
          <w:i/>
          <w:szCs w:val="22"/>
        </w:rPr>
      </w:pPr>
    </w:p>
    <w:p w14:paraId="11AACC22" w14:textId="77777777" w:rsidR="008038F6" w:rsidRDefault="00C71AC5" w:rsidP="00176956">
      <w:pPr>
        <w:ind w:right="3"/>
        <w:jc w:val="both"/>
        <w:rPr>
          <w:b/>
          <w:szCs w:val="22"/>
        </w:rPr>
      </w:pPr>
      <w:r>
        <w:rPr>
          <w:b/>
          <w:szCs w:val="22"/>
        </w:rPr>
        <w:t>1.6</w:t>
      </w:r>
      <w:r w:rsidR="008038F6">
        <w:rPr>
          <w:b/>
          <w:szCs w:val="22"/>
        </w:rPr>
        <w:t xml:space="preserve"> Occurrence of non-qualified test</w:t>
      </w:r>
    </w:p>
    <w:p w14:paraId="6065F7B6" w14:textId="400AA67B" w:rsidR="00410C98" w:rsidRPr="002648EB" w:rsidRDefault="00410C98" w:rsidP="00410C98">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 xml:space="preserve">Three experiments out of 110 were considered invalid, based on the validity criteria reported in the SOP. The reasons for invalidity are reported in </w:t>
      </w:r>
      <w:r w:rsidR="00131D0C">
        <w:rPr>
          <w:rFonts w:cs="Arial"/>
          <w:szCs w:val="22"/>
        </w:rPr>
        <w:t>A</w:t>
      </w:r>
      <w:r w:rsidR="007D3C52">
        <w:rPr>
          <w:rFonts w:cs="Arial"/>
          <w:szCs w:val="22"/>
        </w:rPr>
        <w:t xml:space="preserve">ttachment </w:t>
      </w:r>
      <w:r w:rsidRPr="002648EB">
        <w:rPr>
          <w:rFonts w:cs="Arial"/>
          <w:szCs w:val="22"/>
        </w:rPr>
        <w:t xml:space="preserve">9. </w:t>
      </w:r>
    </w:p>
    <w:p w14:paraId="2F7AC726" w14:textId="77777777" w:rsidR="008038F6" w:rsidRDefault="008038F6" w:rsidP="00176956">
      <w:pPr>
        <w:ind w:right="3"/>
        <w:jc w:val="both"/>
        <w:rPr>
          <w:b/>
          <w:szCs w:val="22"/>
        </w:rPr>
      </w:pPr>
    </w:p>
    <w:p w14:paraId="1436CDBB" w14:textId="77777777" w:rsidR="008038F6" w:rsidRDefault="008038F6" w:rsidP="00176956">
      <w:pPr>
        <w:ind w:right="3"/>
        <w:jc w:val="both"/>
        <w:rPr>
          <w:b/>
          <w:szCs w:val="22"/>
        </w:rPr>
      </w:pPr>
      <w:r>
        <w:rPr>
          <w:b/>
          <w:szCs w:val="22"/>
        </w:rPr>
        <w:t>1.</w:t>
      </w:r>
      <w:r w:rsidR="00C71AC5">
        <w:rPr>
          <w:b/>
          <w:szCs w:val="22"/>
        </w:rPr>
        <w:t>7</w:t>
      </w:r>
      <w:r>
        <w:rPr>
          <w:b/>
          <w:szCs w:val="22"/>
        </w:rPr>
        <w:t xml:space="preserve"> </w:t>
      </w:r>
      <w:r w:rsidR="00C71AC5">
        <w:rPr>
          <w:b/>
          <w:szCs w:val="22"/>
        </w:rPr>
        <w:t>Issues and drawbacks</w:t>
      </w:r>
    </w:p>
    <w:p w14:paraId="157F3902" w14:textId="77777777" w:rsidR="007F7E46" w:rsidRPr="002648EB" w:rsidRDefault="007F7E46" w:rsidP="007F7E46">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No issues and drawbacks have been reported.</w:t>
      </w:r>
    </w:p>
    <w:p w14:paraId="30760CB2" w14:textId="77777777" w:rsidR="008038F6" w:rsidRPr="007511E0" w:rsidRDefault="008038F6" w:rsidP="00176956">
      <w:pPr>
        <w:ind w:right="3"/>
        <w:jc w:val="both"/>
        <w:rPr>
          <w:b/>
          <w:i/>
          <w:szCs w:val="22"/>
        </w:rPr>
      </w:pPr>
    </w:p>
    <w:p w14:paraId="3BD1D17F" w14:textId="77777777" w:rsidR="00C71AC5" w:rsidRDefault="00C71AC5" w:rsidP="00C71AC5">
      <w:pPr>
        <w:ind w:right="3"/>
        <w:jc w:val="both"/>
        <w:rPr>
          <w:b/>
          <w:szCs w:val="22"/>
        </w:rPr>
      </w:pPr>
      <w:r>
        <w:rPr>
          <w:b/>
          <w:szCs w:val="22"/>
        </w:rPr>
        <w:t>1.8 Essential information for a Validation Study based on Performance Standards [for similar or updated test method(s)]</w:t>
      </w:r>
    </w:p>
    <w:p w14:paraId="7B5EBDE4" w14:textId="77777777" w:rsidR="007F7E46" w:rsidRPr="002648EB" w:rsidRDefault="007F7E46" w:rsidP="007F7E46">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Not applicable.</w:t>
      </w:r>
    </w:p>
    <w:p w14:paraId="3F91C252" w14:textId="77777777" w:rsidR="00C71AC5" w:rsidRPr="007511E0" w:rsidRDefault="00C71AC5" w:rsidP="00C71AC5">
      <w:pPr>
        <w:ind w:right="3"/>
        <w:jc w:val="both"/>
        <w:rPr>
          <w:b/>
          <w:i/>
          <w:szCs w:val="22"/>
        </w:rPr>
      </w:pPr>
    </w:p>
    <w:p w14:paraId="55D89E14" w14:textId="77777777" w:rsidR="008038F6" w:rsidRPr="007511E0" w:rsidRDefault="00C71AC5" w:rsidP="00176956">
      <w:pPr>
        <w:ind w:right="3"/>
        <w:jc w:val="both"/>
        <w:rPr>
          <w:b/>
          <w:szCs w:val="22"/>
        </w:rPr>
      </w:pPr>
      <w:r>
        <w:rPr>
          <w:b/>
          <w:szCs w:val="22"/>
        </w:rPr>
        <w:t>1.9</w:t>
      </w:r>
      <w:r w:rsidR="008038F6" w:rsidRPr="007511E0">
        <w:rPr>
          <w:b/>
          <w:szCs w:val="22"/>
        </w:rPr>
        <w:t xml:space="preserve"> Overall conclusions on Module 1</w:t>
      </w:r>
    </w:p>
    <w:p w14:paraId="72353A62" w14:textId="314F85BB" w:rsidR="007F7E46" w:rsidRDefault="0096295D" w:rsidP="00176956">
      <w:pPr>
        <w:pBdr>
          <w:top w:val="single" w:sz="4" w:space="1" w:color="auto"/>
          <w:left w:val="single" w:sz="4" w:space="4" w:color="auto"/>
          <w:bottom w:val="single" w:sz="4" w:space="1" w:color="auto"/>
          <w:right w:val="single" w:sz="4" w:space="4" w:color="auto"/>
        </w:pBdr>
        <w:ind w:right="3"/>
        <w:jc w:val="both"/>
        <w:rPr>
          <w:rFonts w:cs="Arial"/>
          <w:szCs w:val="22"/>
        </w:rPr>
      </w:pPr>
      <w:r>
        <w:rPr>
          <w:rFonts w:cs="Arial"/>
          <w:szCs w:val="22"/>
        </w:rPr>
        <w:t>The information provided in</w:t>
      </w:r>
      <w:r w:rsidR="007F7E46" w:rsidRPr="002648EB">
        <w:rPr>
          <w:rFonts w:cs="Arial"/>
          <w:szCs w:val="22"/>
        </w:rPr>
        <w:t xml:space="preserve"> Module 1 is complete and clear.</w:t>
      </w:r>
    </w:p>
    <w:p w14:paraId="7039472F" w14:textId="0F9B643F" w:rsidR="009D220C" w:rsidRPr="008938AE" w:rsidRDefault="009D220C" w:rsidP="00176956">
      <w:pPr>
        <w:pBdr>
          <w:top w:val="single" w:sz="4" w:space="1" w:color="auto"/>
          <w:left w:val="single" w:sz="4" w:space="4" w:color="auto"/>
          <w:bottom w:val="single" w:sz="4" w:space="1" w:color="auto"/>
          <w:right w:val="single" w:sz="4" w:space="4" w:color="auto"/>
        </w:pBdr>
        <w:ind w:right="3"/>
        <w:jc w:val="both"/>
        <w:rPr>
          <w:rFonts w:cs="Arial"/>
          <w:szCs w:val="22"/>
        </w:rPr>
      </w:pPr>
      <w:r>
        <w:rPr>
          <w:rFonts w:cs="Arial"/>
          <w:szCs w:val="22"/>
        </w:rPr>
        <w:t>The RSMN</w:t>
      </w:r>
      <w:r w:rsidRPr="009D220C">
        <w:rPr>
          <w:rFonts w:cs="Arial"/>
          <w:szCs w:val="22"/>
        </w:rPr>
        <w:t xml:space="preserve"> assay is well defined. Background information on the design and development of the test method has been provided. The test protocol is </w:t>
      </w:r>
      <w:r w:rsidRPr="008938AE">
        <w:rPr>
          <w:rFonts w:cs="Arial"/>
          <w:szCs w:val="22"/>
        </w:rPr>
        <w:t>clear</w:t>
      </w:r>
      <w:r w:rsidR="00D4401F">
        <w:rPr>
          <w:rFonts w:cs="Arial"/>
          <w:szCs w:val="22"/>
        </w:rPr>
        <w:t xml:space="preserve">ly described. The </w:t>
      </w:r>
      <w:r w:rsidR="00F5755F">
        <w:rPr>
          <w:rFonts w:cs="Arial"/>
          <w:szCs w:val="22"/>
        </w:rPr>
        <w:t>Test Submitter</w:t>
      </w:r>
      <w:r w:rsidRPr="008938AE">
        <w:rPr>
          <w:rFonts w:cs="Arial"/>
          <w:szCs w:val="22"/>
        </w:rPr>
        <w:t xml:space="preserve"> has provided a detailed SOP and conspicuous number of references.</w:t>
      </w:r>
    </w:p>
    <w:p w14:paraId="7D8F5A70" w14:textId="77777777" w:rsidR="009D220C" w:rsidRPr="008938AE" w:rsidRDefault="009D220C" w:rsidP="009D220C">
      <w:pPr>
        <w:pBdr>
          <w:top w:val="single" w:sz="4" w:space="1" w:color="auto"/>
          <w:left w:val="single" w:sz="4" w:space="4" w:color="auto"/>
          <w:bottom w:val="single" w:sz="4" w:space="1" w:color="auto"/>
          <w:right w:val="single" w:sz="4" w:space="4" w:color="auto"/>
        </w:pBdr>
        <w:ind w:right="3"/>
        <w:jc w:val="both"/>
        <w:rPr>
          <w:szCs w:val="22"/>
        </w:rPr>
      </w:pPr>
      <w:r w:rsidRPr="008938AE">
        <w:rPr>
          <w:szCs w:val="22"/>
        </w:rPr>
        <w:t xml:space="preserve">The quality of the information reported is adequate for the purpose of assessing Module 1. </w:t>
      </w:r>
    </w:p>
    <w:bookmarkEnd w:id="0"/>
    <w:bookmarkEnd w:id="1"/>
    <w:bookmarkEnd w:id="2"/>
    <w:p w14:paraId="4A0AF909" w14:textId="77777777" w:rsidR="008038F6" w:rsidRDefault="008038F6" w:rsidP="00176956">
      <w:pPr>
        <w:ind w:right="3"/>
        <w:jc w:val="both"/>
        <w:rPr>
          <w:rFonts w:ascii="Times New Roman Bold" w:hAnsi="Times New Roman Bold"/>
          <w:b/>
          <w:caps/>
          <w:sz w:val="32"/>
          <w:szCs w:val="32"/>
          <w:vertAlign w:val="superscript"/>
        </w:rPr>
      </w:pPr>
    </w:p>
    <w:p w14:paraId="2200B24D" w14:textId="77777777" w:rsidR="008038F6" w:rsidRDefault="008038F6" w:rsidP="00176956">
      <w:pPr>
        <w:ind w:right="3"/>
        <w:jc w:val="both"/>
        <w:rPr>
          <w:rFonts w:ascii="Times New Roman Bold" w:hAnsi="Times New Roman Bold"/>
          <w:b/>
          <w:caps/>
          <w:sz w:val="32"/>
          <w:szCs w:val="32"/>
          <w:vertAlign w:val="superscript"/>
        </w:rPr>
      </w:pPr>
      <w:r>
        <w:rPr>
          <w:rFonts w:ascii="Times New Roman Bold" w:hAnsi="Times New Roman Bold"/>
          <w:b/>
          <w:caps/>
          <w:sz w:val="32"/>
          <w:szCs w:val="32"/>
          <w:vertAlign w:val="superscript"/>
        </w:rPr>
        <w:t xml:space="preserve">2. </w:t>
      </w:r>
      <w:r w:rsidRPr="00E1382A">
        <w:rPr>
          <w:rFonts w:ascii="Times New Roman Bold" w:hAnsi="Times New Roman Bold"/>
          <w:b/>
          <w:caps/>
          <w:sz w:val="32"/>
          <w:szCs w:val="32"/>
          <w:vertAlign w:val="superscript"/>
        </w:rPr>
        <w:t xml:space="preserve">MODULE </w:t>
      </w:r>
      <w:r>
        <w:rPr>
          <w:rFonts w:ascii="Times New Roman Bold" w:hAnsi="Times New Roman Bold"/>
          <w:b/>
          <w:caps/>
          <w:sz w:val="32"/>
          <w:szCs w:val="32"/>
          <w:vertAlign w:val="superscript"/>
        </w:rPr>
        <w:t>2</w:t>
      </w:r>
      <w:r w:rsidRPr="00E1382A">
        <w:rPr>
          <w:rFonts w:ascii="Times New Roman Bold" w:hAnsi="Times New Roman Bold"/>
          <w:b/>
          <w:caps/>
          <w:sz w:val="32"/>
          <w:szCs w:val="32"/>
          <w:vertAlign w:val="superscript"/>
        </w:rPr>
        <w:t xml:space="preserve">: </w:t>
      </w:r>
      <w:r>
        <w:rPr>
          <w:rFonts w:ascii="Times New Roman Bold" w:hAnsi="Times New Roman Bold"/>
          <w:b/>
          <w:caps/>
          <w:sz w:val="32"/>
          <w:szCs w:val="32"/>
          <w:vertAlign w:val="superscript"/>
        </w:rPr>
        <w:t>WitHin-</w:t>
      </w:r>
      <w:r w:rsidR="00C71AC5">
        <w:rPr>
          <w:rFonts w:ascii="Times New Roman Bold" w:hAnsi="Times New Roman Bold"/>
          <w:b/>
          <w:caps/>
          <w:sz w:val="32"/>
          <w:szCs w:val="32"/>
          <w:vertAlign w:val="superscript"/>
        </w:rPr>
        <w:t>LaBoratory reproducibility</w:t>
      </w:r>
    </w:p>
    <w:p w14:paraId="0FC4FA42" w14:textId="77777777" w:rsidR="008038F6" w:rsidRDefault="008038F6" w:rsidP="00176956">
      <w:pPr>
        <w:ind w:right="3"/>
        <w:jc w:val="both"/>
        <w:rPr>
          <w:b/>
          <w:szCs w:val="22"/>
        </w:rPr>
      </w:pPr>
      <w:r>
        <w:rPr>
          <w:b/>
          <w:szCs w:val="22"/>
        </w:rPr>
        <w:t xml:space="preserve">2.1 </w:t>
      </w:r>
      <w:r w:rsidR="00C71AC5">
        <w:rPr>
          <w:b/>
          <w:szCs w:val="22"/>
        </w:rPr>
        <w:t>T</w:t>
      </w:r>
      <w:r>
        <w:rPr>
          <w:b/>
          <w:szCs w:val="22"/>
        </w:rPr>
        <w:t xml:space="preserve">est items used for assessing </w:t>
      </w:r>
      <w:r w:rsidR="00C71AC5" w:rsidRPr="00C71AC5">
        <w:rPr>
          <w:b/>
          <w:szCs w:val="22"/>
        </w:rPr>
        <w:t>within-laboratory reproducibility</w:t>
      </w:r>
    </w:p>
    <w:p w14:paraId="36ED352B" w14:textId="77777777" w:rsidR="000C1882" w:rsidRDefault="00C678FF" w:rsidP="00C678FF">
      <w:pPr>
        <w:pBdr>
          <w:top w:val="single" w:sz="4" w:space="2" w:color="auto" w:shadow="1"/>
          <w:left w:val="single" w:sz="4" w:space="4" w:color="auto" w:shadow="1"/>
          <w:bottom w:val="single" w:sz="4" w:space="1" w:color="auto" w:shadow="1"/>
          <w:right w:val="single" w:sz="4" w:space="4" w:color="auto" w:shadow="1"/>
        </w:pBdr>
        <w:ind w:right="3"/>
        <w:jc w:val="both"/>
        <w:rPr>
          <w:lang w:val="en-US"/>
        </w:rPr>
      </w:pPr>
      <w:r w:rsidRPr="002E5D7D">
        <w:rPr>
          <w:lang w:val="en-US"/>
        </w:rPr>
        <w:lastRenderedPageBreak/>
        <w:t xml:space="preserve">No specific criteria to select test items for WLR were applied. </w:t>
      </w:r>
    </w:p>
    <w:p w14:paraId="55B0E842" w14:textId="7AB8CE25" w:rsidR="000C1882" w:rsidRDefault="007F403B" w:rsidP="00C678FF">
      <w:pPr>
        <w:pBdr>
          <w:top w:val="single" w:sz="4" w:space="2" w:color="auto" w:shadow="1"/>
          <w:left w:val="single" w:sz="4" w:space="4" w:color="auto" w:shadow="1"/>
          <w:bottom w:val="single" w:sz="4" w:space="1" w:color="auto" w:shadow="1"/>
          <w:right w:val="single" w:sz="4" w:space="4" w:color="auto" w:shadow="1"/>
        </w:pBdr>
        <w:ind w:right="3"/>
        <w:jc w:val="both"/>
        <w:rPr>
          <w:lang w:val="en-US"/>
        </w:rPr>
      </w:pPr>
      <w:r>
        <w:rPr>
          <w:lang w:val="en-US"/>
        </w:rPr>
        <w:t>A total of 38 test items</w:t>
      </w:r>
      <w:r w:rsidR="00D4401F">
        <w:rPr>
          <w:lang w:val="en-US"/>
        </w:rPr>
        <w:t xml:space="preserve"> were used by the </w:t>
      </w:r>
      <w:r w:rsidR="00F5755F">
        <w:rPr>
          <w:rFonts w:cs="Arial"/>
          <w:szCs w:val="22"/>
        </w:rPr>
        <w:t>Test Submitter</w:t>
      </w:r>
      <w:r>
        <w:rPr>
          <w:lang w:val="en-US"/>
        </w:rPr>
        <w:t xml:space="preserve"> to demonstrate within-laboratory reproducibility. </w:t>
      </w:r>
    </w:p>
    <w:p w14:paraId="12C177FE" w14:textId="6417ED0D" w:rsidR="00C678FF" w:rsidRPr="002E5D7D" w:rsidRDefault="00C678FF" w:rsidP="00C678FF">
      <w:pPr>
        <w:pBdr>
          <w:top w:val="single" w:sz="4" w:space="2" w:color="auto" w:shadow="1"/>
          <w:left w:val="single" w:sz="4" w:space="4" w:color="auto" w:shadow="1"/>
          <w:bottom w:val="single" w:sz="4" w:space="1" w:color="auto" w:shadow="1"/>
          <w:right w:val="single" w:sz="4" w:space="4" w:color="auto" w:shadow="1"/>
        </w:pBdr>
        <w:ind w:right="3"/>
        <w:jc w:val="both"/>
        <w:rPr>
          <w:lang w:val="en-US"/>
        </w:rPr>
      </w:pPr>
      <w:r w:rsidRPr="002E5D7D">
        <w:rPr>
          <w:lang w:val="en-US"/>
        </w:rPr>
        <w:t xml:space="preserve">The test items </w:t>
      </w:r>
      <w:r w:rsidR="000C1882">
        <w:rPr>
          <w:lang w:val="en-US"/>
        </w:rPr>
        <w:t>used for assessing</w:t>
      </w:r>
      <w:r w:rsidRPr="002E5D7D">
        <w:rPr>
          <w:lang w:val="en-US"/>
        </w:rPr>
        <w:t xml:space="preserve"> the WLR are listed in Attachment 4</w:t>
      </w:r>
      <w:r w:rsidR="000C1882">
        <w:rPr>
          <w:lang w:val="en-US"/>
        </w:rPr>
        <w:t xml:space="preserve"> together with their commercial supplier, </w:t>
      </w:r>
      <w:r w:rsidRPr="002E5D7D">
        <w:rPr>
          <w:lang w:val="en-US"/>
        </w:rPr>
        <w:t>purity, physical form, chemical class/organic functional groups, molecular weight, octanol-water partition coefficient, water solubility</w:t>
      </w:r>
      <w:r w:rsidR="000C1882">
        <w:rPr>
          <w:lang w:val="en-US"/>
        </w:rPr>
        <w:t>,</w:t>
      </w:r>
      <w:r w:rsidRPr="002E5D7D">
        <w:rPr>
          <w:lang w:val="en-US"/>
        </w:rPr>
        <w:t xml:space="preserve"> vapour pressure and relative experiment results. </w:t>
      </w:r>
      <w:r w:rsidR="008207F6">
        <w:rPr>
          <w:lang w:val="en-US"/>
        </w:rPr>
        <w:t>Chemical</w:t>
      </w:r>
      <w:r w:rsidRPr="002E5D7D">
        <w:rPr>
          <w:lang w:val="en-US"/>
        </w:rPr>
        <w:t xml:space="preserve"> structures, EC-numbers</w:t>
      </w:r>
      <w:r w:rsidR="008207F6">
        <w:rPr>
          <w:lang w:val="en-US"/>
        </w:rPr>
        <w:t>,</w:t>
      </w:r>
      <w:r w:rsidRPr="002E5D7D">
        <w:rPr>
          <w:lang w:val="en-US"/>
        </w:rPr>
        <w:t xml:space="preserve"> and links to websites from which the physical-chemical properties </w:t>
      </w:r>
      <w:r w:rsidR="00187B24" w:rsidRPr="008938AE">
        <w:rPr>
          <w:rFonts w:cs="Arial"/>
          <w:szCs w:val="22"/>
        </w:rPr>
        <w:t>were retrieved</w:t>
      </w:r>
      <w:r w:rsidR="00187B24">
        <w:rPr>
          <w:lang w:val="en-US"/>
        </w:rPr>
        <w:t xml:space="preserve">, were </w:t>
      </w:r>
      <w:r w:rsidRPr="002E5D7D">
        <w:rPr>
          <w:lang w:val="en-US"/>
        </w:rPr>
        <w:t>included in the first worksheet of Attachment 9. The test items used cover almost the entire applicability domain that has been explore</w:t>
      </w:r>
      <w:r w:rsidR="00D36040">
        <w:rPr>
          <w:lang w:val="en-US"/>
        </w:rPr>
        <w:t>d</w:t>
      </w:r>
      <w:r w:rsidRPr="002E5D7D">
        <w:rPr>
          <w:lang w:val="en-US"/>
        </w:rPr>
        <w:t xml:space="preserve"> so far.</w:t>
      </w:r>
    </w:p>
    <w:p w14:paraId="28C7B234" w14:textId="77777777" w:rsidR="008038F6" w:rsidRDefault="008038F6" w:rsidP="00176956">
      <w:pPr>
        <w:ind w:right="3"/>
        <w:jc w:val="both"/>
        <w:rPr>
          <w:i/>
          <w:szCs w:val="22"/>
        </w:rPr>
      </w:pPr>
    </w:p>
    <w:p w14:paraId="100C47FD" w14:textId="77777777" w:rsidR="008038F6" w:rsidRDefault="008038F6" w:rsidP="00176956">
      <w:pPr>
        <w:ind w:right="3"/>
        <w:jc w:val="both"/>
        <w:rPr>
          <w:b/>
          <w:szCs w:val="22"/>
        </w:rPr>
      </w:pPr>
      <w:r>
        <w:rPr>
          <w:b/>
          <w:szCs w:val="22"/>
        </w:rPr>
        <w:t>2.2 Assessment of wi</w:t>
      </w:r>
      <w:r w:rsidR="00C71AC5">
        <w:rPr>
          <w:b/>
          <w:szCs w:val="22"/>
        </w:rPr>
        <w:t>thin-laboratory reproducibility</w:t>
      </w:r>
    </w:p>
    <w:p w14:paraId="4232793F" w14:textId="77777777" w:rsidR="00C678FF" w:rsidRPr="002648EB" w:rsidRDefault="00C678FF" w:rsidP="00C678FF">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The assessment of WLR was derived from the available data, since the study was not specifically designed to address WLR. This was possible because for most of the test items at least two experiments were available.</w:t>
      </w:r>
    </w:p>
    <w:p w14:paraId="2562328A" w14:textId="1EDFF71A" w:rsidR="00C678FF" w:rsidRPr="002648EB" w:rsidRDefault="00C678FF" w:rsidP="00C678FF">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WLR was considered for a total of 69 repeated experiments within a single lab</w:t>
      </w:r>
      <w:r w:rsidR="00EF5A8A">
        <w:rPr>
          <w:rFonts w:cs="Arial"/>
          <w:szCs w:val="22"/>
        </w:rPr>
        <w:t>oratory</w:t>
      </w:r>
      <w:r w:rsidRPr="002648EB">
        <w:rPr>
          <w:rFonts w:cs="Arial"/>
          <w:szCs w:val="22"/>
        </w:rPr>
        <w:t xml:space="preserve"> (the </w:t>
      </w:r>
      <w:r w:rsidR="00F5755F">
        <w:rPr>
          <w:rFonts w:cs="Arial"/>
          <w:szCs w:val="22"/>
        </w:rPr>
        <w:t>Test Submitter</w:t>
      </w:r>
      <w:r w:rsidR="008123D3">
        <w:rPr>
          <w:rFonts w:cs="Arial"/>
          <w:szCs w:val="22"/>
        </w:rPr>
        <w:t xml:space="preserve"> used</w:t>
      </w:r>
      <w:r w:rsidRPr="002648EB">
        <w:rPr>
          <w:rFonts w:cs="Arial"/>
          <w:szCs w:val="22"/>
        </w:rPr>
        <w:t xml:space="preserve"> the term “instances”) and covered 38 test</w:t>
      </w:r>
      <w:r w:rsidR="00187B24">
        <w:rPr>
          <w:rFonts w:cs="Arial"/>
          <w:szCs w:val="22"/>
        </w:rPr>
        <w:t xml:space="preserve"> items. For this analysis, the </w:t>
      </w:r>
      <w:r w:rsidRPr="002648EB">
        <w:rPr>
          <w:rFonts w:cs="Arial"/>
          <w:szCs w:val="22"/>
        </w:rPr>
        <w:t>experiments conducted at 48h were considered independently from those at 72h, even if conducted by the same lab</w:t>
      </w:r>
      <w:r w:rsidR="00EF5A8A">
        <w:rPr>
          <w:rFonts w:cs="Arial"/>
          <w:szCs w:val="22"/>
        </w:rPr>
        <w:t>oratory</w:t>
      </w:r>
      <w:r w:rsidRPr="002648EB">
        <w:rPr>
          <w:rFonts w:cs="Arial"/>
          <w:szCs w:val="22"/>
        </w:rPr>
        <w:t xml:space="preserve"> with the same test item. The WLR has been assessed in terms of concordance between predictions. </w:t>
      </w:r>
    </w:p>
    <w:p w14:paraId="4339AB01" w14:textId="48D24EA8" w:rsidR="00C678FF" w:rsidRPr="002648EB" w:rsidRDefault="00C678FF" w:rsidP="00C678FF">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 xml:space="preserve">The overall WLR was </w:t>
      </w:r>
      <w:r w:rsidR="00D16A86" w:rsidRPr="002648EB">
        <w:rPr>
          <w:rFonts w:cs="Arial"/>
          <w:szCs w:val="22"/>
        </w:rPr>
        <w:t>8</w:t>
      </w:r>
      <w:r w:rsidR="00D16A86">
        <w:rPr>
          <w:rFonts w:cs="Arial"/>
          <w:szCs w:val="22"/>
        </w:rPr>
        <w:t>4</w:t>
      </w:r>
      <w:r w:rsidRPr="002648EB">
        <w:rPr>
          <w:rFonts w:cs="Arial"/>
          <w:szCs w:val="22"/>
        </w:rPr>
        <w:t>%, and varied across the individual laboratories from 74% to 93%. A probability calculus was also applied and reported in Fig. 1 of the TST.</w:t>
      </w:r>
    </w:p>
    <w:p w14:paraId="16621B29" w14:textId="27BF78DD" w:rsidR="00C678FF" w:rsidRPr="002648EB" w:rsidRDefault="00187B24" w:rsidP="00C678FF">
      <w:pPr>
        <w:pBdr>
          <w:top w:val="single" w:sz="4" w:space="1" w:color="auto"/>
          <w:left w:val="single" w:sz="4" w:space="4" w:color="auto"/>
          <w:bottom w:val="single" w:sz="4" w:space="1" w:color="auto"/>
          <w:right w:val="single" w:sz="4" w:space="4" w:color="auto"/>
        </w:pBdr>
        <w:ind w:right="3"/>
        <w:jc w:val="both"/>
        <w:rPr>
          <w:rFonts w:cs="Arial"/>
          <w:szCs w:val="22"/>
        </w:rPr>
      </w:pPr>
      <w:r w:rsidRPr="0036481C">
        <w:rPr>
          <w:szCs w:val="22"/>
        </w:rPr>
        <w:t xml:space="preserve">Some potential sources of variability </w:t>
      </w:r>
      <w:r w:rsidR="00C678FF" w:rsidRPr="003010F8">
        <w:rPr>
          <w:rFonts w:cs="Arial"/>
          <w:szCs w:val="22"/>
        </w:rPr>
        <w:t xml:space="preserve">have been identified by the </w:t>
      </w:r>
      <w:r w:rsidR="00F5755F">
        <w:rPr>
          <w:rFonts w:cs="Arial"/>
          <w:szCs w:val="22"/>
        </w:rPr>
        <w:t>Test Submitter</w:t>
      </w:r>
      <w:r w:rsidR="003010F8" w:rsidRPr="003010F8">
        <w:rPr>
          <w:rFonts w:cs="Arial"/>
          <w:szCs w:val="22"/>
        </w:rPr>
        <w:t xml:space="preserve"> </w:t>
      </w:r>
      <w:r w:rsidR="003010F8" w:rsidRPr="003010F8">
        <w:rPr>
          <w:szCs w:val="22"/>
        </w:rPr>
        <w:t xml:space="preserve">but </w:t>
      </w:r>
      <w:r w:rsidR="003010F8">
        <w:rPr>
          <w:szCs w:val="22"/>
        </w:rPr>
        <w:t>measures to control them were</w:t>
      </w:r>
      <w:r w:rsidR="003010F8" w:rsidRPr="003010F8">
        <w:rPr>
          <w:szCs w:val="22"/>
        </w:rPr>
        <w:t xml:space="preserve"> not </w:t>
      </w:r>
      <w:r w:rsidR="003010F8">
        <w:rPr>
          <w:szCs w:val="22"/>
        </w:rPr>
        <w:t>proposed</w:t>
      </w:r>
      <w:r w:rsidR="003010F8" w:rsidRPr="003010F8">
        <w:rPr>
          <w:szCs w:val="22"/>
        </w:rPr>
        <w:t>.</w:t>
      </w:r>
    </w:p>
    <w:p w14:paraId="643B8CAA" w14:textId="77777777" w:rsidR="008038F6" w:rsidRDefault="008038F6" w:rsidP="00176956">
      <w:pPr>
        <w:ind w:right="3"/>
        <w:jc w:val="both"/>
        <w:rPr>
          <w:b/>
          <w:szCs w:val="22"/>
        </w:rPr>
      </w:pPr>
    </w:p>
    <w:p w14:paraId="5B904639" w14:textId="77777777" w:rsidR="008038F6" w:rsidRDefault="008038F6" w:rsidP="00176956">
      <w:pPr>
        <w:ind w:right="3"/>
        <w:jc w:val="both"/>
        <w:rPr>
          <w:b/>
          <w:szCs w:val="22"/>
        </w:rPr>
      </w:pPr>
      <w:r>
        <w:rPr>
          <w:b/>
          <w:szCs w:val="22"/>
        </w:rPr>
        <w:t>2.3 Identification and discussion of outlying values</w:t>
      </w:r>
    </w:p>
    <w:p w14:paraId="48E2EB32" w14:textId="24BF34B9" w:rsidR="00C678FF" w:rsidRPr="002648EB" w:rsidRDefault="00EF5A8A" w:rsidP="00C678FF">
      <w:pPr>
        <w:pBdr>
          <w:top w:val="single" w:sz="4" w:space="1" w:color="auto"/>
          <w:left w:val="single" w:sz="4" w:space="4" w:color="auto"/>
          <w:bottom w:val="single" w:sz="4" w:space="1" w:color="auto"/>
          <w:right w:val="single" w:sz="4" w:space="4" w:color="auto"/>
        </w:pBdr>
        <w:ind w:right="3"/>
        <w:jc w:val="both"/>
        <w:rPr>
          <w:rFonts w:cs="Arial"/>
          <w:szCs w:val="22"/>
        </w:rPr>
      </w:pPr>
      <w:r>
        <w:rPr>
          <w:rFonts w:cs="Arial"/>
          <w:szCs w:val="22"/>
        </w:rPr>
        <w:t>Eleven</w:t>
      </w:r>
      <w:r w:rsidR="00C678FF" w:rsidRPr="002648EB">
        <w:rPr>
          <w:rFonts w:cs="Arial"/>
          <w:szCs w:val="22"/>
        </w:rPr>
        <w:t xml:space="preserve"> experiments considered for WLR </w:t>
      </w:r>
      <w:r w:rsidR="002032BD">
        <w:rPr>
          <w:rFonts w:cs="Arial"/>
          <w:szCs w:val="22"/>
        </w:rPr>
        <w:t>gave</w:t>
      </w:r>
      <w:r w:rsidR="00C678FF" w:rsidRPr="002648EB">
        <w:rPr>
          <w:rFonts w:cs="Arial"/>
          <w:szCs w:val="22"/>
        </w:rPr>
        <w:t xml:space="preserve"> discordant results. </w:t>
      </w:r>
      <w:r>
        <w:rPr>
          <w:rFonts w:cs="Arial"/>
          <w:szCs w:val="22"/>
        </w:rPr>
        <w:t>A</w:t>
      </w:r>
      <w:r w:rsidR="00C678FF" w:rsidRPr="002648EB">
        <w:rPr>
          <w:rFonts w:cs="Arial"/>
          <w:szCs w:val="22"/>
        </w:rPr>
        <w:t xml:space="preserve"> possible reason for outlying values was identified</w:t>
      </w:r>
      <w:r>
        <w:rPr>
          <w:rFonts w:cs="Arial"/>
          <w:szCs w:val="22"/>
        </w:rPr>
        <w:t xml:space="preserve"> o</w:t>
      </w:r>
      <w:r w:rsidR="00DB1BC0">
        <w:rPr>
          <w:rFonts w:cs="Arial"/>
          <w:szCs w:val="22"/>
        </w:rPr>
        <w:t>nly for four</w:t>
      </w:r>
      <w:r w:rsidRPr="002648EB">
        <w:rPr>
          <w:rFonts w:cs="Arial"/>
          <w:szCs w:val="22"/>
        </w:rPr>
        <w:t xml:space="preserve"> of these experiments</w:t>
      </w:r>
      <w:r w:rsidR="00C678FF" w:rsidRPr="002648EB">
        <w:rPr>
          <w:rFonts w:cs="Arial"/>
          <w:szCs w:val="22"/>
        </w:rPr>
        <w:t>. Experiments with equivocal results were not considered in the WLR.</w:t>
      </w:r>
    </w:p>
    <w:p w14:paraId="104F4ED4" w14:textId="77777777" w:rsidR="008038F6" w:rsidRPr="00160673" w:rsidRDefault="008038F6" w:rsidP="00176956">
      <w:pPr>
        <w:ind w:right="3"/>
        <w:jc w:val="both"/>
        <w:rPr>
          <w:i/>
          <w:szCs w:val="22"/>
        </w:rPr>
      </w:pPr>
    </w:p>
    <w:p w14:paraId="4D8FCB0B" w14:textId="77777777" w:rsidR="008038F6" w:rsidRPr="007511E0" w:rsidRDefault="008038F6" w:rsidP="00176956">
      <w:pPr>
        <w:ind w:right="3"/>
        <w:jc w:val="both"/>
        <w:rPr>
          <w:b/>
          <w:szCs w:val="22"/>
        </w:rPr>
      </w:pPr>
      <w:r>
        <w:rPr>
          <w:b/>
          <w:szCs w:val="22"/>
        </w:rPr>
        <w:t xml:space="preserve">2.4 </w:t>
      </w:r>
      <w:r w:rsidRPr="007511E0">
        <w:rPr>
          <w:b/>
          <w:szCs w:val="22"/>
        </w:rPr>
        <w:t xml:space="preserve">Overall conclusions on Module </w:t>
      </w:r>
      <w:r>
        <w:rPr>
          <w:b/>
          <w:szCs w:val="22"/>
        </w:rPr>
        <w:t>2</w:t>
      </w:r>
    </w:p>
    <w:p w14:paraId="206D4F66" w14:textId="50C80231" w:rsidR="002032BD" w:rsidRDefault="002032BD" w:rsidP="00176956">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 xml:space="preserve">Overall, the information provided </w:t>
      </w:r>
      <w:r w:rsidR="00187B24" w:rsidRPr="00E152B2">
        <w:rPr>
          <w:szCs w:val="22"/>
        </w:rPr>
        <w:t xml:space="preserve">by the </w:t>
      </w:r>
      <w:r w:rsidR="00F5755F">
        <w:rPr>
          <w:rFonts w:cs="Arial"/>
          <w:szCs w:val="22"/>
        </w:rPr>
        <w:t>Test Submitter</w:t>
      </w:r>
      <w:r w:rsidR="00187B24" w:rsidRPr="00E152B2">
        <w:rPr>
          <w:szCs w:val="22"/>
        </w:rPr>
        <w:t xml:space="preserve"> in Module 2 </w:t>
      </w:r>
      <w:r w:rsidR="004A530B">
        <w:rPr>
          <w:rFonts w:cs="Arial"/>
          <w:szCs w:val="22"/>
        </w:rPr>
        <w:t xml:space="preserve">seems sufficient to assess </w:t>
      </w:r>
      <w:r w:rsidR="00187B24" w:rsidRPr="00187B24">
        <w:rPr>
          <w:rFonts w:cs="Arial"/>
          <w:szCs w:val="22"/>
        </w:rPr>
        <w:t>within-laboratory reproducibility of the RS</w:t>
      </w:r>
      <w:r w:rsidR="00187B24">
        <w:rPr>
          <w:rFonts w:cs="Arial"/>
          <w:szCs w:val="22"/>
        </w:rPr>
        <w:t>MN.</w:t>
      </w:r>
      <w:r w:rsidR="00187B24" w:rsidRPr="00187B24">
        <w:rPr>
          <w:rFonts w:cs="Arial"/>
          <w:szCs w:val="22"/>
        </w:rPr>
        <w:t xml:space="preserve"> </w:t>
      </w:r>
    </w:p>
    <w:p w14:paraId="35724ABC" w14:textId="77777777" w:rsidR="008038F6" w:rsidRPr="00160673" w:rsidRDefault="008038F6" w:rsidP="00176956">
      <w:pPr>
        <w:ind w:right="3"/>
        <w:jc w:val="both"/>
        <w:rPr>
          <w:szCs w:val="22"/>
        </w:rPr>
      </w:pPr>
    </w:p>
    <w:p w14:paraId="7CA9E296" w14:textId="77777777" w:rsidR="008038F6" w:rsidRDefault="008038F6" w:rsidP="00176956">
      <w:pPr>
        <w:ind w:right="3"/>
        <w:jc w:val="both"/>
        <w:rPr>
          <w:rFonts w:ascii="Times New Roman Bold" w:hAnsi="Times New Roman Bold"/>
          <w:b/>
          <w:caps/>
          <w:sz w:val="32"/>
          <w:szCs w:val="32"/>
          <w:vertAlign w:val="superscript"/>
        </w:rPr>
      </w:pPr>
      <w:r>
        <w:rPr>
          <w:rFonts w:ascii="Times New Roman Bold" w:hAnsi="Times New Roman Bold"/>
          <w:b/>
          <w:caps/>
          <w:sz w:val="32"/>
          <w:szCs w:val="32"/>
          <w:vertAlign w:val="superscript"/>
        </w:rPr>
        <w:t xml:space="preserve">3. </w:t>
      </w:r>
      <w:r w:rsidRPr="00E1382A">
        <w:rPr>
          <w:rFonts w:ascii="Times New Roman Bold" w:hAnsi="Times New Roman Bold"/>
          <w:b/>
          <w:caps/>
          <w:sz w:val="32"/>
          <w:szCs w:val="32"/>
          <w:vertAlign w:val="superscript"/>
        </w:rPr>
        <w:t xml:space="preserve">MODULE </w:t>
      </w:r>
      <w:r>
        <w:rPr>
          <w:rFonts w:ascii="Times New Roman Bold" w:hAnsi="Times New Roman Bold"/>
          <w:b/>
          <w:caps/>
          <w:sz w:val="32"/>
          <w:szCs w:val="32"/>
          <w:vertAlign w:val="superscript"/>
        </w:rPr>
        <w:t>3</w:t>
      </w:r>
      <w:r w:rsidRPr="00E1382A">
        <w:rPr>
          <w:rFonts w:ascii="Times New Roman Bold" w:hAnsi="Times New Roman Bold"/>
          <w:b/>
          <w:caps/>
          <w:sz w:val="32"/>
          <w:szCs w:val="32"/>
          <w:vertAlign w:val="superscript"/>
        </w:rPr>
        <w:t xml:space="preserve">: </w:t>
      </w:r>
      <w:r w:rsidR="00B5218D">
        <w:rPr>
          <w:rFonts w:ascii="Times New Roman Bold" w:hAnsi="Times New Roman Bold"/>
          <w:b/>
          <w:caps/>
          <w:sz w:val="32"/>
          <w:szCs w:val="32"/>
          <w:vertAlign w:val="superscript"/>
        </w:rPr>
        <w:t>TRANSFERABILITY</w:t>
      </w:r>
    </w:p>
    <w:p w14:paraId="1C66A1F6" w14:textId="77777777" w:rsidR="008038F6" w:rsidRDefault="008038F6" w:rsidP="00176956">
      <w:pPr>
        <w:ind w:right="3"/>
        <w:jc w:val="both"/>
        <w:rPr>
          <w:b/>
          <w:szCs w:val="22"/>
        </w:rPr>
      </w:pPr>
      <w:r w:rsidRPr="005A4422">
        <w:rPr>
          <w:b/>
          <w:szCs w:val="22"/>
        </w:rPr>
        <w:t xml:space="preserve">3.1 </w:t>
      </w:r>
      <w:r>
        <w:rPr>
          <w:b/>
          <w:szCs w:val="22"/>
        </w:rPr>
        <w:t xml:space="preserve">Test items used for assessing the </w:t>
      </w:r>
      <w:r w:rsidR="00B5218D">
        <w:rPr>
          <w:b/>
          <w:szCs w:val="22"/>
        </w:rPr>
        <w:t>transferability</w:t>
      </w:r>
    </w:p>
    <w:p w14:paraId="28600B72" w14:textId="0ACA9BA7" w:rsidR="002032BD" w:rsidRPr="008938AE" w:rsidRDefault="002032BD" w:rsidP="007127F5">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 xml:space="preserve">Seven test items used to assess transferability were listed in </w:t>
      </w:r>
      <w:r>
        <w:rPr>
          <w:rFonts w:cs="Arial"/>
          <w:szCs w:val="22"/>
        </w:rPr>
        <w:t>Attachment 5. They</w:t>
      </w:r>
      <w:r w:rsidRPr="002648EB">
        <w:rPr>
          <w:rFonts w:cs="Arial"/>
          <w:szCs w:val="22"/>
        </w:rPr>
        <w:t xml:space="preserve"> include </w:t>
      </w:r>
      <w:r w:rsidR="00DB1BC0">
        <w:rPr>
          <w:rFonts w:cs="Arial"/>
          <w:szCs w:val="22"/>
        </w:rPr>
        <w:t>three</w:t>
      </w:r>
      <w:r w:rsidRPr="007E1DEA">
        <w:rPr>
          <w:rFonts w:cs="Arial"/>
          <w:szCs w:val="22"/>
        </w:rPr>
        <w:t xml:space="preserve"> true</w:t>
      </w:r>
      <w:r w:rsidR="00DB1BC0">
        <w:rPr>
          <w:rFonts w:cs="Arial"/>
          <w:szCs w:val="22"/>
        </w:rPr>
        <w:t xml:space="preserve"> positives, three</w:t>
      </w:r>
      <w:r w:rsidRPr="007E1DEA">
        <w:rPr>
          <w:rFonts w:cs="Arial"/>
          <w:szCs w:val="22"/>
        </w:rPr>
        <w:t xml:space="preserve"> true negatives</w:t>
      </w:r>
      <w:r w:rsidR="00187B24" w:rsidRPr="007E1DEA">
        <w:rPr>
          <w:rFonts w:cs="Arial"/>
          <w:szCs w:val="22"/>
        </w:rPr>
        <w:t>,</w:t>
      </w:r>
      <w:r w:rsidRPr="007E1DEA">
        <w:rPr>
          <w:rFonts w:cs="Arial"/>
          <w:szCs w:val="22"/>
        </w:rPr>
        <w:t xml:space="preserve"> and one misleading positive.</w:t>
      </w:r>
      <w:r w:rsidR="007127F5" w:rsidRPr="007E1DEA">
        <w:rPr>
          <w:rFonts w:cs="Arial"/>
          <w:szCs w:val="22"/>
        </w:rPr>
        <w:t xml:space="preserve"> Information</w:t>
      </w:r>
      <w:r w:rsidR="007127F5">
        <w:rPr>
          <w:rFonts w:cs="Arial"/>
          <w:szCs w:val="22"/>
        </w:rPr>
        <w:t xml:space="preserve"> about </w:t>
      </w:r>
      <w:r w:rsidR="007127F5" w:rsidRPr="007127F5">
        <w:rPr>
          <w:rFonts w:cs="Arial"/>
          <w:szCs w:val="22"/>
        </w:rPr>
        <w:t>commercial supplier</w:t>
      </w:r>
      <w:r w:rsidR="007127F5">
        <w:rPr>
          <w:rFonts w:cs="Arial"/>
          <w:szCs w:val="22"/>
        </w:rPr>
        <w:t>,</w:t>
      </w:r>
      <w:r w:rsidR="007127F5" w:rsidRPr="007127F5">
        <w:rPr>
          <w:rFonts w:cs="Arial"/>
          <w:szCs w:val="22"/>
        </w:rPr>
        <w:t xml:space="preserve"> purity, physical form, chemical class/organic functional groups, molecular</w:t>
      </w:r>
      <w:r w:rsidR="007127F5">
        <w:rPr>
          <w:rFonts w:cs="Arial"/>
          <w:szCs w:val="22"/>
        </w:rPr>
        <w:t xml:space="preserve"> </w:t>
      </w:r>
      <w:r w:rsidR="007127F5" w:rsidRPr="007127F5">
        <w:rPr>
          <w:rFonts w:cs="Arial"/>
          <w:szCs w:val="22"/>
        </w:rPr>
        <w:t xml:space="preserve">weight, octanol-water partition coefficient, water solubility, vapour pressure as </w:t>
      </w:r>
      <w:r w:rsidR="007127F5" w:rsidRPr="008938AE">
        <w:rPr>
          <w:rFonts w:cs="Arial"/>
          <w:szCs w:val="22"/>
        </w:rPr>
        <w:t>well as links to websites, from which the physical-chemical properties were retrieved,</w:t>
      </w:r>
      <w:r w:rsidR="00074F84">
        <w:rPr>
          <w:rFonts w:cs="Arial"/>
          <w:szCs w:val="22"/>
        </w:rPr>
        <w:t xml:space="preserve"> was</w:t>
      </w:r>
      <w:r w:rsidR="007127F5" w:rsidRPr="008938AE">
        <w:rPr>
          <w:rFonts w:cs="Arial"/>
          <w:szCs w:val="22"/>
        </w:rPr>
        <w:t xml:space="preserve"> reported in Attachment 5. </w:t>
      </w:r>
    </w:p>
    <w:p w14:paraId="32D5E867" w14:textId="663A42A5" w:rsidR="00B15029" w:rsidRPr="008938AE" w:rsidRDefault="00B15029" w:rsidP="007127F5">
      <w:pPr>
        <w:pBdr>
          <w:top w:val="single" w:sz="4" w:space="1" w:color="auto"/>
          <w:left w:val="single" w:sz="4" w:space="4" w:color="auto"/>
          <w:bottom w:val="single" w:sz="4" w:space="1" w:color="auto"/>
          <w:right w:val="single" w:sz="4" w:space="4" w:color="auto"/>
        </w:pBdr>
        <w:ind w:right="3"/>
        <w:jc w:val="both"/>
        <w:rPr>
          <w:rFonts w:cs="Arial"/>
          <w:szCs w:val="22"/>
        </w:rPr>
      </w:pPr>
      <w:r w:rsidRPr="008938AE">
        <w:rPr>
          <w:szCs w:val="22"/>
        </w:rPr>
        <w:t xml:space="preserve">Information provided in this </w:t>
      </w:r>
      <w:r w:rsidR="00074F84">
        <w:rPr>
          <w:szCs w:val="22"/>
        </w:rPr>
        <w:t>section of the TST is</w:t>
      </w:r>
      <w:r w:rsidRPr="008938AE">
        <w:rPr>
          <w:szCs w:val="22"/>
        </w:rPr>
        <w:t xml:space="preserve"> consistent with what is reported in Attachment 14.</w:t>
      </w:r>
    </w:p>
    <w:p w14:paraId="36D2A6F8" w14:textId="77777777" w:rsidR="008038F6" w:rsidRDefault="008038F6" w:rsidP="00176956">
      <w:pPr>
        <w:ind w:right="3"/>
        <w:jc w:val="both"/>
        <w:rPr>
          <w:i/>
          <w:szCs w:val="22"/>
        </w:rPr>
      </w:pPr>
    </w:p>
    <w:p w14:paraId="4A5C3A54" w14:textId="77777777" w:rsidR="008038F6" w:rsidRPr="005A4422" w:rsidRDefault="008038F6" w:rsidP="00176956">
      <w:pPr>
        <w:ind w:right="3"/>
        <w:jc w:val="both"/>
        <w:rPr>
          <w:b/>
          <w:szCs w:val="22"/>
        </w:rPr>
      </w:pPr>
      <w:r w:rsidRPr="005A4422">
        <w:rPr>
          <w:b/>
          <w:szCs w:val="22"/>
        </w:rPr>
        <w:lastRenderedPageBreak/>
        <w:t xml:space="preserve">3.2 Assessment of the test method </w:t>
      </w:r>
      <w:r w:rsidR="00B5218D" w:rsidRPr="00B5218D">
        <w:rPr>
          <w:b/>
          <w:szCs w:val="22"/>
        </w:rPr>
        <w:t>transferability to other laboratories</w:t>
      </w:r>
    </w:p>
    <w:p w14:paraId="4F36983C" w14:textId="0EE54A1B" w:rsidR="00C72982" w:rsidRPr="002648EB" w:rsidRDefault="00C72982" w:rsidP="00C72982">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Transferability w</w:t>
      </w:r>
      <w:r w:rsidR="00DB1BC0">
        <w:rPr>
          <w:rFonts w:cs="Arial"/>
          <w:szCs w:val="22"/>
        </w:rPr>
        <w:t>as initially demonstrated with seven</w:t>
      </w:r>
      <w:r w:rsidRPr="002648EB">
        <w:rPr>
          <w:rFonts w:cs="Arial"/>
          <w:szCs w:val="22"/>
        </w:rPr>
        <w:t xml:space="preserve"> test items by Hu et al. (2009) and subsequently assessed in Phase </w:t>
      </w:r>
      <w:r w:rsidR="00DB1BC0">
        <w:rPr>
          <w:rFonts w:cs="Arial"/>
          <w:szCs w:val="22"/>
        </w:rPr>
        <w:t>1 of the validation study with two</w:t>
      </w:r>
      <w:r w:rsidRPr="002648EB">
        <w:rPr>
          <w:rFonts w:cs="Arial"/>
          <w:szCs w:val="22"/>
        </w:rPr>
        <w:t xml:space="preserve"> test items (Aardema et al., 2010). The transferability assessment is therefore based on the original protocol. As explained in </w:t>
      </w:r>
      <w:r w:rsidR="00D343FA">
        <w:rPr>
          <w:rFonts w:cs="Arial"/>
          <w:szCs w:val="22"/>
        </w:rPr>
        <w:t>paragraph</w:t>
      </w:r>
      <w:r w:rsidR="00F46323">
        <w:rPr>
          <w:rFonts w:cs="Arial"/>
          <w:szCs w:val="22"/>
        </w:rPr>
        <w:t xml:space="preserve"> </w:t>
      </w:r>
      <w:r w:rsidRPr="002648EB">
        <w:rPr>
          <w:rFonts w:cs="Arial"/>
          <w:szCs w:val="22"/>
        </w:rPr>
        <w:t xml:space="preserve">2.1.6 of the TST, this protocol did not yet include the measurement of viable cell count as second readout for cytotoxicity, the specification that only the lowest precipitating </w:t>
      </w:r>
      <w:r w:rsidRPr="00340547">
        <w:rPr>
          <w:rFonts w:cs="Arial"/>
          <w:szCs w:val="22"/>
        </w:rPr>
        <w:t xml:space="preserve">concentration </w:t>
      </w:r>
      <w:r w:rsidR="00340547" w:rsidRPr="00340547">
        <w:rPr>
          <w:rFonts w:cs="Arial"/>
          <w:szCs w:val="22"/>
        </w:rPr>
        <w:t>has</w:t>
      </w:r>
      <w:r w:rsidR="00340547">
        <w:rPr>
          <w:rFonts w:cs="Arial"/>
          <w:i/>
          <w:szCs w:val="22"/>
        </w:rPr>
        <w:t xml:space="preserve"> </w:t>
      </w:r>
      <w:r w:rsidRPr="002648EB">
        <w:rPr>
          <w:rFonts w:cs="Arial"/>
          <w:szCs w:val="22"/>
        </w:rPr>
        <w:t>to be included in the statistical analysis</w:t>
      </w:r>
      <w:r w:rsidR="00340547">
        <w:rPr>
          <w:rFonts w:cs="Arial"/>
          <w:szCs w:val="22"/>
        </w:rPr>
        <w:t>,</w:t>
      </w:r>
      <w:r w:rsidRPr="002648EB">
        <w:rPr>
          <w:rFonts w:cs="Arial"/>
          <w:szCs w:val="22"/>
        </w:rPr>
        <w:t xml:space="preserve"> and th</w:t>
      </w:r>
      <w:r w:rsidR="00340547">
        <w:rPr>
          <w:rFonts w:cs="Arial"/>
          <w:szCs w:val="22"/>
        </w:rPr>
        <w:t>e addition of the 72h time point</w:t>
      </w:r>
      <w:r w:rsidRPr="002648EB">
        <w:rPr>
          <w:rFonts w:cs="Arial"/>
          <w:szCs w:val="22"/>
        </w:rPr>
        <w:t>.</w:t>
      </w:r>
    </w:p>
    <w:p w14:paraId="7C7B08F7" w14:textId="1E6C74AE" w:rsidR="00C72982" w:rsidRPr="002648EB" w:rsidRDefault="00C72982" w:rsidP="00C72982">
      <w:pPr>
        <w:pBdr>
          <w:top w:val="single" w:sz="4" w:space="1" w:color="auto"/>
          <w:left w:val="single" w:sz="4" w:space="4" w:color="auto"/>
          <w:bottom w:val="single" w:sz="4" w:space="1" w:color="auto"/>
          <w:right w:val="single" w:sz="4" w:space="4" w:color="auto"/>
        </w:pBdr>
        <w:ind w:right="3"/>
        <w:jc w:val="both"/>
        <w:rPr>
          <w:rFonts w:cs="Arial"/>
          <w:szCs w:val="22"/>
        </w:rPr>
      </w:pPr>
      <w:r w:rsidRPr="002064CF">
        <w:rPr>
          <w:lang w:val="en-US"/>
        </w:rPr>
        <w:t xml:space="preserve">The conduct of a RSMN requires standard technical laboratory skills as well as expertise in interpreting data and results of genotoxicity test methods. In addition, experience in handling 3D tissue and in defining the dose range for </w:t>
      </w:r>
      <w:r w:rsidRPr="005713D7">
        <w:rPr>
          <w:i/>
          <w:lang w:val="en-US"/>
        </w:rPr>
        <w:t>in vitro</w:t>
      </w:r>
      <w:r w:rsidRPr="002064CF">
        <w:rPr>
          <w:lang w:val="en-US"/>
        </w:rPr>
        <w:t xml:space="preserve"> genotoxicity tests is important.</w:t>
      </w:r>
    </w:p>
    <w:p w14:paraId="1713DD66" w14:textId="5732283E" w:rsidR="00C72982" w:rsidRDefault="00C72982" w:rsidP="00C72982">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Moreover, based on the experience acquired during the validation study</w:t>
      </w:r>
      <w:r w:rsidR="00F46323">
        <w:rPr>
          <w:rFonts w:cs="Arial"/>
          <w:szCs w:val="22"/>
        </w:rPr>
        <w:t>,</w:t>
      </w:r>
      <w:r w:rsidR="00DB1BC0">
        <w:rPr>
          <w:rFonts w:cs="Arial"/>
          <w:szCs w:val="22"/>
        </w:rPr>
        <w:t xml:space="preserve"> the Test Submitter </w:t>
      </w:r>
      <w:r w:rsidR="008123D3">
        <w:rPr>
          <w:rFonts w:cs="Arial"/>
          <w:szCs w:val="22"/>
        </w:rPr>
        <w:t xml:space="preserve">has </w:t>
      </w:r>
      <w:r w:rsidR="00DB1BC0">
        <w:rPr>
          <w:rFonts w:cs="Arial"/>
          <w:szCs w:val="22"/>
        </w:rPr>
        <w:t>suggested</w:t>
      </w:r>
      <w:r w:rsidRPr="002648EB">
        <w:rPr>
          <w:rFonts w:cs="Arial"/>
          <w:szCs w:val="22"/>
        </w:rPr>
        <w:t xml:space="preserve"> that a naïve laboratory should conduct at least two experiments with three test items (cyclohexanone, mitomycin C and n-ethyl-n-nitrosourea) and additi</w:t>
      </w:r>
      <w:r w:rsidR="00340547">
        <w:rPr>
          <w:rFonts w:cs="Arial"/>
          <w:szCs w:val="22"/>
        </w:rPr>
        <w:t>onal experiments to establish</w:t>
      </w:r>
      <w:r w:rsidRPr="002648EB">
        <w:rPr>
          <w:rFonts w:cs="Arial"/>
          <w:szCs w:val="22"/>
        </w:rPr>
        <w:t xml:space="preserve"> a reliable historical control.</w:t>
      </w:r>
      <w:r>
        <w:rPr>
          <w:rFonts w:cs="Arial"/>
          <w:szCs w:val="22"/>
        </w:rPr>
        <w:t xml:space="preserve"> </w:t>
      </w:r>
    </w:p>
    <w:p w14:paraId="70215AA8" w14:textId="53D373AB" w:rsidR="00C72982" w:rsidRDefault="00C72982" w:rsidP="00C72982">
      <w:pPr>
        <w:pBdr>
          <w:top w:val="single" w:sz="4" w:space="1" w:color="auto"/>
          <w:left w:val="single" w:sz="4" w:space="4" w:color="auto"/>
          <w:bottom w:val="single" w:sz="4" w:space="1" w:color="auto"/>
          <w:right w:val="single" w:sz="4" w:space="4" w:color="auto"/>
        </w:pBdr>
        <w:ind w:right="3"/>
        <w:jc w:val="both"/>
        <w:rPr>
          <w:color w:val="000000" w:themeColor="text1"/>
        </w:rPr>
      </w:pPr>
      <w:r>
        <w:rPr>
          <w:rFonts w:cs="Arial"/>
          <w:szCs w:val="22"/>
        </w:rPr>
        <w:t xml:space="preserve">The </w:t>
      </w:r>
      <w:r w:rsidR="00F5755F">
        <w:rPr>
          <w:rFonts w:cs="Arial"/>
          <w:szCs w:val="22"/>
        </w:rPr>
        <w:t>Test Submitter</w:t>
      </w:r>
      <w:r>
        <w:rPr>
          <w:rFonts w:cs="Arial"/>
          <w:szCs w:val="22"/>
        </w:rPr>
        <w:t xml:space="preserve"> </w:t>
      </w:r>
      <w:r w:rsidR="00340547">
        <w:rPr>
          <w:rFonts w:cs="Arial"/>
          <w:szCs w:val="22"/>
        </w:rPr>
        <w:t>did not recommend any</w:t>
      </w:r>
      <w:r>
        <w:rPr>
          <w:rFonts w:cs="Arial"/>
          <w:szCs w:val="22"/>
        </w:rPr>
        <w:t xml:space="preserve"> specific training protocol</w:t>
      </w:r>
      <w:r w:rsidR="004A530B">
        <w:rPr>
          <w:rFonts w:cs="Arial"/>
          <w:szCs w:val="22"/>
        </w:rPr>
        <w:t xml:space="preserve">. </w:t>
      </w:r>
      <w:r>
        <w:rPr>
          <w:color w:val="000000" w:themeColor="text1"/>
        </w:rPr>
        <w:t xml:space="preserve">Therefore no training protocol, neither a transfer report have been provided. </w:t>
      </w:r>
      <w:r w:rsidR="00D36040">
        <w:rPr>
          <w:color w:val="000000" w:themeColor="text1"/>
        </w:rPr>
        <w:t>Critical</w:t>
      </w:r>
      <w:r w:rsidR="00D36040" w:rsidRPr="00DF5F5E">
        <w:rPr>
          <w:color w:val="000000" w:themeColor="text1"/>
        </w:rPr>
        <w:t xml:space="preserve"> </w:t>
      </w:r>
      <w:r w:rsidR="00DF5F5E" w:rsidRPr="00DF5F5E">
        <w:rPr>
          <w:color w:val="000000" w:themeColor="text1"/>
        </w:rPr>
        <w:t>aspects of the SO</w:t>
      </w:r>
      <w:r w:rsidR="00DF5F5E">
        <w:rPr>
          <w:color w:val="000000" w:themeColor="text1"/>
        </w:rPr>
        <w:t xml:space="preserve">P have been properly emphasised in </w:t>
      </w:r>
      <w:r w:rsidR="004A530B">
        <w:rPr>
          <w:color w:val="000000" w:themeColor="text1"/>
        </w:rPr>
        <w:t>paragraph</w:t>
      </w:r>
      <w:r w:rsidR="00DF5F5E">
        <w:rPr>
          <w:color w:val="000000" w:themeColor="text1"/>
        </w:rPr>
        <w:t xml:space="preserve"> 2.1.6.i and </w:t>
      </w:r>
      <w:r w:rsidR="004A530B">
        <w:rPr>
          <w:color w:val="000000" w:themeColor="text1"/>
        </w:rPr>
        <w:t>some</w:t>
      </w:r>
      <w:r w:rsidR="00DF5F5E">
        <w:rPr>
          <w:color w:val="000000" w:themeColor="text1"/>
        </w:rPr>
        <w:t xml:space="preserve"> recommendations </w:t>
      </w:r>
      <w:r w:rsidR="008123D3">
        <w:rPr>
          <w:color w:val="000000" w:themeColor="text1"/>
        </w:rPr>
        <w:t>were</w:t>
      </w:r>
      <w:r w:rsidR="00DF5F5E">
        <w:rPr>
          <w:color w:val="000000" w:themeColor="text1"/>
        </w:rPr>
        <w:t xml:space="preserve"> provided by the </w:t>
      </w:r>
      <w:r w:rsidR="00F5755F">
        <w:rPr>
          <w:rFonts w:cs="Arial"/>
          <w:szCs w:val="22"/>
        </w:rPr>
        <w:t>Test Submitter</w:t>
      </w:r>
      <w:r w:rsidR="00DF5F5E">
        <w:rPr>
          <w:color w:val="000000" w:themeColor="text1"/>
        </w:rPr>
        <w:t xml:space="preserve">. </w:t>
      </w:r>
    </w:p>
    <w:p w14:paraId="18A1D1DE" w14:textId="77777777" w:rsidR="008038F6" w:rsidRDefault="008038F6" w:rsidP="00176956">
      <w:pPr>
        <w:ind w:right="3"/>
        <w:jc w:val="both"/>
        <w:rPr>
          <w:i/>
          <w:szCs w:val="22"/>
        </w:rPr>
      </w:pPr>
    </w:p>
    <w:p w14:paraId="12FCF649" w14:textId="77777777" w:rsidR="008038F6" w:rsidRPr="007511E0" w:rsidRDefault="008038F6" w:rsidP="00176956">
      <w:pPr>
        <w:ind w:right="3"/>
        <w:jc w:val="both"/>
        <w:rPr>
          <w:b/>
          <w:szCs w:val="22"/>
        </w:rPr>
      </w:pPr>
      <w:r>
        <w:rPr>
          <w:b/>
          <w:szCs w:val="22"/>
        </w:rPr>
        <w:t xml:space="preserve">3.3 </w:t>
      </w:r>
      <w:r w:rsidRPr="007511E0">
        <w:rPr>
          <w:b/>
          <w:szCs w:val="22"/>
        </w:rPr>
        <w:t xml:space="preserve">Overall conclusions on Module </w:t>
      </w:r>
      <w:r>
        <w:rPr>
          <w:b/>
          <w:szCs w:val="22"/>
        </w:rPr>
        <w:t>3</w:t>
      </w:r>
    </w:p>
    <w:p w14:paraId="0D8110AF" w14:textId="45F4C73D" w:rsidR="00D2186D" w:rsidRPr="002064CF" w:rsidRDefault="00D2186D" w:rsidP="00D2186D">
      <w:pPr>
        <w:pBdr>
          <w:top w:val="single" w:sz="4" w:space="2" w:color="auto" w:shadow="1"/>
          <w:left w:val="single" w:sz="4" w:space="4" w:color="auto" w:shadow="1"/>
          <w:bottom w:val="single" w:sz="4" w:space="1" w:color="auto" w:shadow="1"/>
          <w:right w:val="single" w:sz="4" w:space="4" w:color="auto" w:shadow="1"/>
        </w:pBdr>
        <w:ind w:right="3"/>
        <w:jc w:val="both"/>
        <w:rPr>
          <w:lang w:val="en-US"/>
        </w:rPr>
      </w:pPr>
      <w:r w:rsidRPr="002648EB">
        <w:rPr>
          <w:rFonts w:cs="Arial"/>
          <w:szCs w:val="22"/>
        </w:rPr>
        <w:t xml:space="preserve">Overall, the information provided </w:t>
      </w:r>
      <w:r w:rsidR="00DF5F5E">
        <w:rPr>
          <w:rFonts w:cs="Arial"/>
          <w:szCs w:val="22"/>
        </w:rPr>
        <w:t xml:space="preserve">by the </w:t>
      </w:r>
      <w:r w:rsidR="00F5755F">
        <w:rPr>
          <w:rFonts w:cs="Arial"/>
          <w:szCs w:val="22"/>
        </w:rPr>
        <w:t>Test Submitter</w:t>
      </w:r>
      <w:r w:rsidR="00DF5F5E">
        <w:rPr>
          <w:rFonts w:cs="Arial"/>
          <w:szCs w:val="22"/>
        </w:rPr>
        <w:t xml:space="preserve"> in Module 3 </w:t>
      </w:r>
      <w:r w:rsidR="004A530B">
        <w:rPr>
          <w:rFonts w:cs="Arial"/>
          <w:szCs w:val="22"/>
        </w:rPr>
        <w:t xml:space="preserve">seems sufficient to assess </w:t>
      </w:r>
      <w:r w:rsidRPr="002648EB">
        <w:rPr>
          <w:rFonts w:cs="Arial"/>
          <w:szCs w:val="22"/>
        </w:rPr>
        <w:t xml:space="preserve">transferability of the RSMN. </w:t>
      </w:r>
    </w:p>
    <w:p w14:paraId="14C273A9" w14:textId="77777777" w:rsidR="008038F6" w:rsidRDefault="008038F6" w:rsidP="00176956">
      <w:pPr>
        <w:ind w:right="3"/>
        <w:jc w:val="both"/>
        <w:rPr>
          <w:i/>
          <w:szCs w:val="22"/>
        </w:rPr>
      </w:pPr>
    </w:p>
    <w:p w14:paraId="02DBE554" w14:textId="77777777" w:rsidR="008038F6" w:rsidRDefault="008038F6" w:rsidP="00176956">
      <w:pPr>
        <w:ind w:right="3"/>
        <w:jc w:val="both"/>
        <w:rPr>
          <w:rFonts w:ascii="Times New Roman Bold" w:hAnsi="Times New Roman Bold"/>
          <w:b/>
          <w:caps/>
          <w:sz w:val="32"/>
          <w:szCs w:val="32"/>
          <w:vertAlign w:val="superscript"/>
        </w:rPr>
      </w:pPr>
      <w:r>
        <w:rPr>
          <w:rFonts w:ascii="Times New Roman Bold" w:hAnsi="Times New Roman Bold"/>
          <w:b/>
          <w:caps/>
          <w:sz w:val="32"/>
          <w:szCs w:val="32"/>
          <w:vertAlign w:val="superscript"/>
        </w:rPr>
        <w:t xml:space="preserve">4. </w:t>
      </w:r>
      <w:r w:rsidRPr="00E1382A">
        <w:rPr>
          <w:rFonts w:ascii="Times New Roman Bold" w:hAnsi="Times New Roman Bold"/>
          <w:b/>
          <w:caps/>
          <w:sz w:val="32"/>
          <w:szCs w:val="32"/>
          <w:vertAlign w:val="superscript"/>
        </w:rPr>
        <w:t xml:space="preserve">MODULE </w:t>
      </w:r>
      <w:r>
        <w:rPr>
          <w:rFonts w:ascii="Times New Roman Bold" w:hAnsi="Times New Roman Bold"/>
          <w:b/>
          <w:caps/>
          <w:sz w:val="32"/>
          <w:szCs w:val="32"/>
          <w:vertAlign w:val="superscript"/>
        </w:rPr>
        <w:t>4</w:t>
      </w:r>
      <w:r w:rsidRPr="00E1382A">
        <w:rPr>
          <w:rFonts w:ascii="Times New Roman Bold" w:hAnsi="Times New Roman Bold"/>
          <w:b/>
          <w:caps/>
          <w:sz w:val="32"/>
          <w:szCs w:val="32"/>
          <w:vertAlign w:val="superscript"/>
        </w:rPr>
        <w:t xml:space="preserve">: </w:t>
      </w:r>
      <w:r>
        <w:rPr>
          <w:rFonts w:ascii="Times New Roman Bold" w:hAnsi="Times New Roman Bold"/>
          <w:b/>
          <w:caps/>
          <w:sz w:val="32"/>
          <w:szCs w:val="32"/>
          <w:vertAlign w:val="superscript"/>
        </w:rPr>
        <w:t>BETWEEN-</w:t>
      </w:r>
      <w:r w:rsidR="00B5218D">
        <w:rPr>
          <w:rFonts w:ascii="Times New Roman Bold" w:hAnsi="Times New Roman Bold"/>
          <w:b/>
          <w:caps/>
          <w:sz w:val="32"/>
          <w:szCs w:val="32"/>
          <w:vertAlign w:val="superscript"/>
        </w:rPr>
        <w:t>LaBoratory reproducibility</w:t>
      </w:r>
    </w:p>
    <w:p w14:paraId="48F96D34" w14:textId="77777777" w:rsidR="008038F6" w:rsidRDefault="008038F6" w:rsidP="00176956">
      <w:pPr>
        <w:ind w:right="3"/>
        <w:jc w:val="both"/>
        <w:rPr>
          <w:b/>
          <w:szCs w:val="22"/>
        </w:rPr>
      </w:pPr>
      <w:r>
        <w:rPr>
          <w:b/>
          <w:szCs w:val="22"/>
        </w:rPr>
        <w:t xml:space="preserve">4.1 </w:t>
      </w:r>
      <w:r w:rsidR="00B5218D">
        <w:rPr>
          <w:b/>
          <w:szCs w:val="22"/>
        </w:rPr>
        <w:t>T</w:t>
      </w:r>
      <w:r>
        <w:rPr>
          <w:b/>
          <w:szCs w:val="22"/>
        </w:rPr>
        <w:t xml:space="preserve">est items used for assessing </w:t>
      </w:r>
      <w:r w:rsidR="00B5218D" w:rsidRPr="00B5218D">
        <w:rPr>
          <w:b/>
          <w:szCs w:val="22"/>
        </w:rPr>
        <w:t>between-laboratory reproducibility</w:t>
      </w:r>
    </w:p>
    <w:p w14:paraId="23DF4BBF" w14:textId="58BF6B70" w:rsidR="00FF2C50" w:rsidRPr="002064CF" w:rsidRDefault="00FF2C50" w:rsidP="00FF2C50">
      <w:pPr>
        <w:pBdr>
          <w:top w:val="single" w:sz="4" w:space="1" w:color="auto"/>
          <w:left w:val="single" w:sz="4" w:space="4" w:color="auto"/>
          <w:bottom w:val="single" w:sz="4" w:space="1" w:color="auto"/>
          <w:right w:val="single" w:sz="4" w:space="4" w:color="auto"/>
        </w:pBdr>
        <w:ind w:right="3"/>
        <w:jc w:val="both"/>
        <w:rPr>
          <w:lang w:val="en-US"/>
        </w:rPr>
      </w:pPr>
      <w:r w:rsidRPr="002064CF">
        <w:rPr>
          <w:lang w:val="en-US"/>
        </w:rPr>
        <w:t xml:space="preserve">The test items </w:t>
      </w:r>
      <w:r w:rsidR="004A530B">
        <w:rPr>
          <w:lang w:val="en-US"/>
        </w:rPr>
        <w:t>used to assess between-laboratory reproducibility (</w:t>
      </w:r>
      <w:r w:rsidRPr="002064CF">
        <w:rPr>
          <w:lang w:val="en-US"/>
        </w:rPr>
        <w:t>BLR</w:t>
      </w:r>
      <w:r w:rsidR="004A530B">
        <w:rPr>
          <w:lang w:val="en-US"/>
        </w:rPr>
        <w:t>)</w:t>
      </w:r>
      <w:r w:rsidRPr="002064CF">
        <w:rPr>
          <w:lang w:val="en-US"/>
        </w:rPr>
        <w:t xml:space="preserve"> are listed in Attachment 8, including information on the comm</w:t>
      </w:r>
      <w:r w:rsidR="004A530B">
        <w:rPr>
          <w:lang w:val="en-US"/>
        </w:rPr>
        <w:t>ercial supplier,</w:t>
      </w:r>
      <w:r w:rsidRPr="002064CF">
        <w:rPr>
          <w:lang w:val="en-US"/>
        </w:rPr>
        <w:t xml:space="preserve"> purity, physical form, chemical class/organic functional groups, molecular weight, octanol-water partition coefficient, water solubility and vapour pressure</w:t>
      </w:r>
      <w:r w:rsidR="004A530B">
        <w:rPr>
          <w:lang w:val="en-US"/>
        </w:rPr>
        <w:t>,</w:t>
      </w:r>
      <w:r w:rsidRPr="002064CF">
        <w:rPr>
          <w:lang w:val="en-US"/>
        </w:rPr>
        <w:t xml:space="preserve"> and relative experiment results. </w:t>
      </w:r>
      <w:r w:rsidR="004A530B">
        <w:rPr>
          <w:lang w:val="en-US"/>
        </w:rPr>
        <w:t>Chemical</w:t>
      </w:r>
      <w:r w:rsidRPr="002064CF">
        <w:rPr>
          <w:lang w:val="en-US"/>
        </w:rPr>
        <w:t xml:space="preserve"> structures, EC-numbers and links to websites from which the physical-chemical properties were retrieved are included in the first worksheet of Attachment 9. </w:t>
      </w:r>
    </w:p>
    <w:p w14:paraId="0BFD65D1" w14:textId="13BA5ACE" w:rsidR="002C4EEF" w:rsidRDefault="00EF5A8A" w:rsidP="00FF2C50">
      <w:pPr>
        <w:pBdr>
          <w:top w:val="single" w:sz="4" w:space="1" w:color="auto"/>
          <w:left w:val="single" w:sz="4" w:space="4" w:color="auto"/>
          <w:bottom w:val="single" w:sz="4" w:space="1" w:color="auto"/>
          <w:right w:val="single" w:sz="4" w:space="4" w:color="auto"/>
        </w:pBdr>
        <w:ind w:right="3"/>
        <w:jc w:val="both"/>
      </w:pPr>
      <w:r>
        <w:rPr>
          <w:lang w:val="en-US"/>
        </w:rPr>
        <w:t>Twenty-two</w:t>
      </w:r>
      <w:r w:rsidR="00FF2C50" w:rsidRPr="002064CF">
        <w:rPr>
          <w:lang w:val="en-US"/>
        </w:rPr>
        <w:t xml:space="preserve"> test items</w:t>
      </w:r>
      <w:r w:rsidR="00FF2C50" w:rsidRPr="00FF2C50">
        <w:rPr>
          <w:lang w:val="en-US"/>
        </w:rPr>
        <w:t xml:space="preserve"> </w:t>
      </w:r>
      <w:r w:rsidR="00FF2C50" w:rsidRPr="002064CF">
        <w:rPr>
          <w:lang w:val="en-US"/>
        </w:rPr>
        <w:t>were selected to cover various MoA</w:t>
      </w:r>
      <w:r w:rsidR="00FF2C50">
        <w:rPr>
          <w:lang w:val="en-US"/>
        </w:rPr>
        <w:t>. They</w:t>
      </w:r>
      <w:r w:rsidR="00FF2C50" w:rsidRPr="002064CF">
        <w:rPr>
          <w:lang w:val="en-US"/>
        </w:rPr>
        <w:t xml:space="preserve"> includ</w:t>
      </w:r>
      <w:r w:rsidR="00FF2C50">
        <w:rPr>
          <w:lang w:val="en-US"/>
        </w:rPr>
        <w:t>e</w:t>
      </w:r>
      <w:r w:rsidR="00FF2C50" w:rsidRPr="002064CF">
        <w:rPr>
          <w:lang w:val="en-US"/>
        </w:rPr>
        <w:t xml:space="preserve"> 11 true positives, 7 true negatives</w:t>
      </w:r>
      <w:r w:rsidR="008207F6">
        <w:rPr>
          <w:lang w:val="en-US"/>
        </w:rPr>
        <w:t>,</w:t>
      </w:r>
      <w:r w:rsidR="00FF2C50" w:rsidRPr="002064CF">
        <w:rPr>
          <w:lang w:val="en-US"/>
        </w:rPr>
        <w:t xml:space="preserve"> and 4 </w:t>
      </w:r>
      <w:r w:rsidR="00432006" w:rsidRPr="002064CF">
        <w:rPr>
          <w:lang w:val="en-US"/>
        </w:rPr>
        <w:t>misleading</w:t>
      </w:r>
      <w:r w:rsidR="00FF2C50" w:rsidRPr="002064CF">
        <w:rPr>
          <w:lang w:val="en-US"/>
        </w:rPr>
        <w:t xml:space="preserve"> positives</w:t>
      </w:r>
      <w:r w:rsidR="002C4EEF">
        <w:rPr>
          <w:lang w:val="en-US"/>
        </w:rPr>
        <w:t xml:space="preserve"> </w:t>
      </w:r>
      <w:r w:rsidR="002C4EEF" w:rsidRPr="002C4EEF">
        <w:t xml:space="preserve">for which positive </w:t>
      </w:r>
      <w:r w:rsidR="002C4EEF" w:rsidRPr="005713D7">
        <w:rPr>
          <w:i/>
        </w:rPr>
        <w:t xml:space="preserve">in vitro </w:t>
      </w:r>
      <w:r w:rsidR="002C4EEF" w:rsidRPr="002C4EEF">
        <w:t xml:space="preserve">findings were reported, but not confirmed in </w:t>
      </w:r>
      <w:r w:rsidR="002C4EEF" w:rsidRPr="005713D7">
        <w:rPr>
          <w:i/>
        </w:rPr>
        <w:t>in vivo</w:t>
      </w:r>
      <w:r w:rsidR="002C4EEF">
        <w:t xml:space="preserve"> </w:t>
      </w:r>
      <w:r w:rsidR="002C4EEF" w:rsidRPr="002C4EEF">
        <w:t>studies.</w:t>
      </w:r>
    </w:p>
    <w:p w14:paraId="0A0BBB75" w14:textId="0AE218F4" w:rsidR="00432006" w:rsidRDefault="00432006" w:rsidP="00FF2C50">
      <w:pPr>
        <w:pBdr>
          <w:top w:val="single" w:sz="4" w:space="1" w:color="auto"/>
          <w:left w:val="single" w:sz="4" w:space="4" w:color="auto"/>
          <w:bottom w:val="single" w:sz="4" w:space="1" w:color="auto"/>
          <w:right w:val="single" w:sz="4" w:space="4" w:color="auto"/>
        </w:pBdr>
        <w:ind w:right="3"/>
        <w:jc w:val="both"/>
      </w:pPr>
      <w:r w:rsidRPr="00432006">
        <w:t>The information provided in this section</w:t>
      </w:r>
      <w:r w:rsidR="00074F84">
        <w:t xml:space="preserve"> is</w:t>
      </w:r>
      <w:r w:rsidRPr="00432006">
        <w:t xml:space="preserve"> consistent with Attachment 8 and Attachment 14</w:t>
      </w:r>
      <w:r>
        <w:t>.</w:t>
      </w:r>
    </w:p>
    <w:p w14:paraId="244D719F" w14:textId="77777777" w:rsidR="008038F6" w:rsidRDefault="008038F6" w:rsidP="00176956">
      <w:pPr>
        <w:ind w:right="3"/>
        <w:jc w:val="both"/>
        <w:rPr>
          <w:i/>
          <w:szCs w:val="22"/>
        </w:rPr>
      </w:pPr>
    </w:p>
    <w:p w14:paraId="4A0C94E9" w14:textId="77777777" w:rsidR="008038F6" w:rsidRDefault="008038F6" w:rsidP="00176956">
      <w:pPr>
        <w:ind w:right="3"/>
        <w:jc w:val="both"/>
        <w:rPr>
          <w:b/>
          <w:szCs w:val="22"/>
        </w:rPr>
      </w:pPr>
      <w:r>
        <w:rPr>
          <w:b/>
          <w:szCs w:val="22"/>
        </w:rPr>
        <w:t>4.2 Assessment of between-laboratory reproducibility of experimental data</w:t>
      </w:r>
    </w:p>
    <w:p w14:paraId="5FB998AB" w14:textId="413289CD" w:rsidR="00271894" w:rsidRPr="002648EB" w:rsidRDefault="00271894" w:rsidP="00271894">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The BLR on the concordance of predictions was assessed between 2, 3 and 4 laborat</w:t>
      </w:r>
      <w:r w:rsidR="008464D9">
        <w:rPr>
          <w:rFonts w:cs="Arial"/>
          <w:szCs w:val="22"/>
        </w:rPr>
        <w:t>ories respectively for 7, 12 or</w:t>
      </w:r>
      <w:r w:rsidRPr="002648EB">
        <w:rPr>
          <w:rFonts w:cs="Arial"/>
          <w:szCs w:val="22"/>
        </w:rPr>
        <w:t xml:space="preserve"> 3</w:t>
      </w:r>
      <w:r w:rsidR="008464D9">
        <w:rPr>
          <w:rFonts w:cs="Arial"/>
          <w:szCs w:val="22"/>
        </w:rPr>
        <w:t>, and 3</w:t>
      </w:r>
      <w:r w:rsidRPr="002648EB">
        <w:rPr>
          <w:rFonts w:cs="Arial"/>
          <w:szCs w:val="22"/>
        </w:rPr>
        <w:t xml:space="preserve"> test items.</w:t>
      </w:r>
    </w:p>
    <w:p w14:paraId="6E22B2C8" w14:textId="2CED4842" w:rsidR="00271894" w:rsidRPr="002648EB" w:rsidRDefault="00271894" w:rsidP="00271894">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The overall BLR was reported to be 77.3% (17/22) (A</w:t>
      </w:r>
      <w:r>
        <w:rPr>
          <w:rFonts w:cs="Arial"/>
          <w:szCs w:val="22"/>
        </w:rPr>
        <w:t>ttachment</w:t>
      </w:r>
      <w:r w:rsidRPr="002648EB">
        <w:rPr>
          <w:rFonts w:cs="Arial"/>
          <w:szCs w:val="22"/>
        </w:rPr>
        <w:t xml:space="preserve"> </w:t>
      </w:r>
      <w:r w:rsidR="00CB08EE">
        <w:rPr>
          <w:rFonts w:cs="Arial"/>
          <w:szCs w:val="22"/>
        </w:rPr>
        <w:t>8</w:t>
      </w:r>
      <w:r w:rsidRPr="002648EB">
        <w:rPr>
          <w:rFonts w:cs="Arial"/>
          <w:szCs w:val="22"/>
        </w:rPr>
        <w:t xml:space="preserve">).  </w:t>
      </w:r>
    </w:p>
    <w:p w14:paraId="44319A9E" w14:textId="445A30F3" w:rsidR="00271894" w:rsidRPr="002648EB" w:rsidRDefault="00271894" w:rsidP="00271894">
      <w:pPr>
        <w:pBdr>
          <w:top w:val="single" w:sz="4" w:space="1" w:color="auto"/>
          <w:left w:val="single" w:sz="4" w:space="4" w:color="auto"/>
          <w:bottom w:val="single" w:sz="4" w:space="1" w:color="auto"/>
          <w:right w:val="single" w:sz="4" w:space="4" w:color="auto"/>
        </w:pBdr>
        <w:ind w:right="3"/>
        <w:jc w:val="both"/>
        <w:rPr>
          <w:rFonts w:cs="Arial"/>
          <w:szCs w:val="22"/>
          <w:lang w:val="en-US"/>
        </w:rPr>
      </w:pPr>
      <w:r w:rsidRPr="002648EB">
        <w:rPr>
          <w:rFonts w:cs="Arial"/>
          <w:szCs w:val="22"/>
        </w:rPr>
        <w:t xml:space="preserve">It should however be noted that only 16 test items </w:t>
      </w:r>
      <w:r w:rsidR="002C4EEF">
        <w:rPr>
          <w:rFonts w:cs="Arial"/>
          <w:szCs w:val="22"/>
        </w:rPr>
        <w:t xml:space="preserve">(out of 22) </w:t>
      </w:r>
      <w:r w:rsidRPr="002648EB">
        <w:rPr>
          <w:rFonts w:cs="Arial"/>
          <w:szCs w:val="22"/>
        </w:rPr>
        <w:t xml:space="preserve">had concordant calls, while 4 were discordant and </w:t>
      </w:r>
      <w:r w:rsidR="00CB08EE">
        <w:rPr>
          <w:rFonts w:cs="Arial"/>
          <w:szCs w:val="22"/>
        </w:rPr>
        <w:t>2</w:t>
      </w:r>
      <w:r w:rsidRPr="002648EB">
        <w:rPr>
          <w:rFonts w:cs="Arial"/>
          <w:szCs w:val="22"/>
        </w:rPr>
        <w:t xml:space="preserve"> </w:t>
      </w:r>
      <w:r w:rsidR="00EF5A8A">
        <w:rPr>
          <w:rFonts w:cs="Arial"/>
          <w:szCs w:val="22"/>
        </w:rPr>
        <w:t>were negative in one or two laboratories</w:t>
      </w:r>
      <w:r w:rsidRPr="002648EB">
        <w:rPr>
          <w:rFonts w:cs="Arial"/>
          <w:szCs w:val="22"/>
        </w:rPr>
        <w:t xml:space="preserve"> and equivocal in the other. If the BLR is considered equivocal for these two test items, then the overall BLR </w:t>
      </w:r>
      <w:r w:rsidR="00AE5DA8">
        <w:rPr>
          <w:rFonts w:cs="Arial"/>
          <w:szCs w:val="22"/>
        </w:rPr>
        <w:lastRenderedPageBreak/>
        <w:t>should be 72.</w:t>
      </w:r>
      <w:r w:rsidRPr="002648EB">
        <w:rPr>
          <w:rFonts w:cs="Arial"/>
          <w:szCs w:val="22"/>
        </w:rPr>
        <w:t xml:space="preserve">7%. Instead, the </w:t>
      </w:r>
      <w:r w:rsidR="00F5755F">
        <w:rPr>
          <w:rFonts w:cs="Arial"/>
          <w:szCs w:val="22"/>
        </w:rPr>
        <w:t>Test Submitter</w:t>
      </w:r>
      <w:r w:rsidRPr="002648EB">
        <w:rPr>
          <w:rFonts w:cs="Arial"/>
          <w:szCs w:val="22"/>
        </w:rPr>
        <w:t xml:space="preserve"> </w:t>
      </w:r>
      <w:r w:rsidR="008123D3">
        <w:rPr>
          <w:rFonts w:cs="Arial"/>
          <w:szCs w:val="22"/>
        </w:rPr>
        <w:t xml:space="preserve">has </w:t>
      </w:r>
      <w:r w:rsidRPr="002648EB">
        <w:rPr>
          <w:rFonts w:cs="Arial"/>
          <w:szCs w:val="22"/>
        </w:rPr>
        <w:t>considered a positive concordance for 17 items in the overall BLR assessment with the following explanation “</w:t>
      </w:r>
      <w:r w:rsidRPr="002064CF">
        <w:rPr>
          <w:i/>
          <w:lang w:val="en-US"/>
        </w:rPr>
        <w:t xml:space="preserve">Considering resorcinol and tolbutamide due to the remaining uncertainty that led to equivocal results to be between-laboratory reproducible with a likelihood of 50%, the overall BLR, when weighing all test items equally, was 17/22 = 77.3%." </w:t>
      </w:r>
    </w:p>
    <w:p w14:paraId="3E0571E5" w14:textId="73EF94B7" w:rsidR="00271894" w:rsidRPr="002648EB" w:rsidRDefault="00271894" w:rsidP="00271894">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 xml:space="preserve">Potential sources of variability have been identified in </w:t>
      </w:r>
      <w:r w:rsidR="00AF0257" w:rsidRPr="003010F8">
        <w:rPr>
          <w:rFonts w:cs="Arial"/>
          <w:szCs w:val="22"/>
        </w:rPr>
        <w:t>paragraph</w:t>
      </w:r>
      <w:r w:rsidR="00CB08EE" w:rsidRPr="003010F8">
        <w:rPr>
          <w:rFonts w:cs="Arial"/>
          <w:szCs w:val="22"/>
        </w:rPr>
        <w:t xml:space="preserve"> </w:t>
      </w:r>
      <w:r w:rsidRPr="003010F8">
        <w:rPr>
          <w:rFonts w:cs="Arial"/>
          <w:szCs w:val="22"/>
        </w:rPr>
        <w:t>2.4.</w:t>
      </w:r>
      <w:r w:rsidR="00CB08EE" w:rsidRPr="003010F8">
        <w:rPr>
          <w:rFonts w:cs="Arial"/>
          <w:szCs w:val="22"/>
        </w:rPr>
        <w:t>3</w:t>
      </w:r>
      <w:r w:rsidRPr="003010F8">
        <w:rPr>
          <w:rFonts w:cs="Arial"/>
          <w:szCs w:val="22"/>
        </w:rPr>
        <w:t>.</w:t>
      </w:r>
      <w:r w:rsidR="003010F8" w:rsidRPr="003010F8">
        <w:rPr>
          <w:rFonts w:cs="Arial"/>
          <w:szCs w:val="22"/>
        </w:rPr>
        <w:t xml:space="preserve"> </w:t>
      </w:r>
      <w:r w:rsidR="003010F8" w:rsidRPr="003010F8">
        <w:rPr>
          <w:szCs w:val="22"/>
        </w:rPr>
        <w:t>No measure to control the sources of variability wa</w:t>
      </w:r>
      <w:r w:rsidR="00D4401F">
        <w:rPr>
          <w:szCs w:val="22"/>
        </w:rPr>
        <w:t xml:space="preserve">s proposed by the </w:t>
      </w:r>
      <w:r w:rsidR="00F5755F">
        <w:rPr>
          <w:rFonts w:cs="Arial"/>
          <w:szCs w:val="22"/>
        </w:rPr>
        <w:t>Test Submitter</w:t>
      </w:r>
      <w:r w:rsidR="003010F8" w:rsidRPr="003010F8">
        <w:rPr>
          <w:szCs w:val="22"/>
        </w:rPr>
        <w:t>.</w:t>
      </w:r>
    </w:p>
    <w:p w14:paraId="59108DFF" w14:textId="77777777" w:rsidR="008038F6" w:rsidRPr="00324444" w:rsidRDefault="008038F6" w:rsidP="00176956">
      <w:pPr>
        <w:ind w:right="3"/>
        <w:jc w:val="both"/>
        <w:rPr>
          <w:i/>
          <w:szCs w:val="22"/>
        </w:rPr>
      </w:pPr>
    </w:p>
    <w:p w14:paraId="6B244235" w14:textId="77777777" w:rsidR="008038F6" w:rsidRDefault="008038F6" w:rsidP="00176956">
      <w:pPr>
        <w:ind w:right="3"/>
        <w:jc w:val="both"/>
        <w:rPr>
          <w:b/>
          <w:szCs w:val="22"/>
        </w:rPr>
      </w:pPr>
      <w:r>
        <w:rPr>
          <w:b/>
          <w:szCs w:val="22"/>
        </w:rPr>
        <w:t>4.3 Identification and discussion of outlying values</w:t>
      </w:r>
    </w:p>
    <w:p w14:paraId="2CA0FCA2" w14:textId="26BEE261" w:rsidR="008038F6" w:rsidRPr="008938AE" w:rsidRDefault="00AC2212" w:rsidP="00176956">
      <w:pPr>
        <w:pBdr>
          <w:top w:val="single" w:sz="4" w:space="1" w:color="auto"/>
          <w:left w:val="single" w:sz="4" w:space="4" w:color="auto"/>
          <w:bottom w:val="single" w:sz="4" w:space="1" w:color="auto"/>
          <w:right w:val="single" w:sz="4" w:space="4" w:color="auto"/>
        </w:pBdr>
        <w:ind w:right="3"/>
        <w:jc w:val="both"/>
        <w:rPr>
          <w:lang w:val="en-US"/>
        </w:rPr>
      </w:pPr>
      <w:r>
        <w:t>Potential</w:t>
      </w:r>
      <w:r w:rsidR="0095045A" w:rsidRPr="002064CF">
        <w:rPr>
          <w:lang w:val="en-US"/>
        </w:rPr>
        <w:t xml:space="preserve"> experimental sources of variability that can result in reduced BLR were identified as follows: experiments with borderline results</w:t>
      </w:r>
      <w:r>
        <w:rPr>
          <w:lang w:val="en-US"/>
        </w:rPr>
        <w:t xml:space="preserve">, differences in dose selection, and </w:t>
      </w:r>
      <w:r w:rsidR="0095045A" w:rsidRPr="002064CF">
        <w:rPr>
          <w:lang w:val="en-US"/>
        </w:rPr>
        <w:t>cytotoxicity between laboratories.</w:t>
      </w:r>
    </w:p>
    <w:p w14:paraId="3708A054" w14:textId="77777777" w:rsidR="008038F6" w:rsidRDefault="008038F6" w:rsidP="00176956">
      <w:pPr>
        <w:ind w:right="3"/>
        <w:jc w:val="both"/>
        <w:rPr>
          <w:i/>
          <w:szCs w:val="22"/>
        </w:rPr>
      </w:pPr>
    </w:p>
    <w:p w14:paraId="60FB894F" w14:textId="77777777" w:rsidR="008038F6" w:rsidRPr="007511E0" w:rsidRDefault="008038F6" w:rsidP="00176956">
      <w:pPr>
        <w:ind w:right="3"/>
        <w:jc w:val="both"/>
        <w:rPr>
          <w:b/>
          <w:szCs w:val="22"/>
        </w:rPr>
      </w:pPr>
      <w:r>
        <w:rPr>
          <w:b/>
          <w:szCs w:val="22"/>
        </w:rPr>
        <w:t>4.4</w:t>
      </w:r>
      <w:r w:rsidRPr="007511E0">
        <w:rPr>
          <w:b/>
          <w:szCs w:val="22"/>
        </w:rPr>
        <w:t xml:space="preserve"> Overall conclusions on Module </w:t>
      </w:r>
      <w:r>
        <w:rPr>
          <w:b/>
          <w:szCs w:val="22"/>
        </w:rPr>
        <w:t>4</w:t>
      </w:r>
    </w:p>
    <w:p w14:paraId="2CCF90E3" w14:textId="34D41D27" w:rsidR="0095045A" w:rsidRPr="002064CF" w:rsidRDefault="0095045A" w:rsidP="0095045A">
      <w:pPr>
        <w:pBdr>
          <w:top w:val="single" w:sz="4" w:space="2" w:color="auto" w:shadow="1"/>
          <w:left w:val="single" w:sz="4" w:space="4" w:color="auto" w:shadow="1"/>
          <w:bottom w:val="single" w:sz="4" w:space="1" w:color="auto" w:shadow="1"/>
          <w:right w:val="single" w:sz="4" w:space="4" w:color="auto" w:shadow="1"/>
        </w:pBdr>
        <w:ind w:right="3"/>
        <w:jc w:val="both"/>
        <w:rPr>
          <w:lang w:val="en-US"/>
        </w:rPr>
      </w:pPr>
      <w:r w:rsidRPr="002648EB">
        <w:rPr>
          <w:rFonts w:cs="Arial"/>
          <w:szCs w:val="22"/>
        </w:rPr>
        <w:t xml:space="preserve">Overall, the information provided </w:t>
      </w:r>
      <w:r w:rsidR="00CB08EE">
        <w:rPr>
          <w:rFonts w:cs="Arial"/>
          <w:szCs w:val="22"/>
        </w:rPr>
        <w:t xml:space="preserve">by the </w:t>
      </w:r>
      <w:r w:rsidR="00F5755F">
        <w:rPr>
          <w:rFonts w:cs="Arial"/>
          <w:szCs w:val="22"/>
        </w:rPr>
        <w:t>Test Submitter</w:t>
      </w:r>
      <w:r w:rsidR="00CB08EE">
        <w:rPr>
          <w:rFonts w:cs="Arial"/>
          <w:szCs w:val="22"/>
        </w:rPr>
        <w:t xml:space="preserve"> </w:t>
      </w:r>
      <w:r w:rsidR="00AC2212">
        <w:rPr>
          <w:rFonts w:cs="Arial"/>
          <w:szCs w:val="22"/>
        </w:rPr>
        <w:t xml:space="preserve">in Module 4 </w:t>
      </w:r>
      <w:r w:rsidRPr="002648EB">
        <w:rPr>
          <w:rFonts w:cs="Arial"/>
          <w:szCs w:val="22"/>
        </w:rPr>
        <w:t xml:space="preserve">seems sufficient to assess </w:t>
      </w:r>
      <w:r w:rsidR="00AC2212" w:rsidRPr="00E152B2">
        <w:rPr>
          <w:rFonts w:cs="Arial"/>
          <w:szCs w:val="22"/>
        </w:rPr>
        <w:t>between-laboratory reproducibility</w:t>
      </w:r>
      <w:r w:rsidR="00AC2212" w:rsidRPr="002648EB">
        <w:rPr>
          <w:rFonts w:cs="Arial"/>
          <w:szCs w:val="22"/>
        </w:rPr>
        <w:t xml:space="preserve"> </w:t>
      </w:r>
      <w:r w:rsidRPr="002648EB">
        <w:rPr>
          <w:rFonts w:cs="Arial"/>
          <w:szCs w:val="22"/>
        </w:rPr>
        <w:t xml:space="preserve">of the RSMN. </w:t>
      </w:r>
    </w:p>
    <w:p w14:paraId="4CD9B251" w14:textId="77777777" w:rsidR="008038F6" w:rsidRPr="00324444" w:rsidRDefault="008038F6" w:rsidP="00176956">
      <w:pPr>
        <w:ind w:right="3"/>
        <w:jc w:val="both"/>
        <w:rPr>
          <w:i/>
          <w:szCs w:val="22"/>
        </w:rPr>
      </w:pPr>
    </w:p>
    <w:p w14:paraId="569AB14E" w14:textId="77777777" w:rsidR="008038F6" w:rsidRDefault="008038F6" w:rsidP="00176956">
      <w:pPr>
        <w:ind w:right="3"/>
        <w:jc w:val="both"/>
        <w:rPr>
          <w:rFonts w:ascii="Times New Roman Bold" w:hAnsi="Times New Roman Bold"/>
          <w:b/>
          <w:caps/>
          <w:sz w:val="32"/>
          <w:szCs w:val="32"/>
          <w:vertAlign w:val="superscript"/>
        </w:rPr>
      </w:pPr>
      <w:r>
        <w:rPr>
          <w:rFonts w:ascii="Times New Roman Bold" w:hAnsi="Times New Roman Bold"/>
          <w:b/>
          <w:caps/>
          <w:sz w:val="32"/>
          <w:szCs w:val="32"/>
          <w:vertAlign w:val="superscript"/>
        </w:rPr>
        <w:t xml:space="preserve">5. </w:t>
      </w:r>
      <w:r w:rsidRPr="00E1382A">
        <w:rPr>
          <w:rFonts w:ascii="Times New Roman Bold" w:hAnsi="Times New Roman Bold"/>
          <w:b/>
          <w:caps/>
          <w:sz w:val="32"/>
          <w:szCs w:val="32"/>
          <w:vertAlign w:val="superscript"/>
        </w:rPr>
        <w:t xml:space="preserve">MODULE </w:t>
      </w:r>
      <w:r>
        <w:rPr>
          <w:rFonts w:ascii="Times New Roman Bold" w:hAnsi="Times New Roman Bold"/>
          <w:b/>
          <w:caps/>
          <w:sz w:val="32"/>
          <w:szCs w:val="32"/>
          <w:vertAlign w:val="superscript"/>
        </w:rPr>
        <w:t>5</w:t>
      </w:r>
      <w:r w:rsidRPr="00E1382A">
        <w:rPr>
          <w:rFonts w:ascii="Times New Roman Bold" w:hAnsi="Times New Roman Bold"/>
          <w:b/>
          <w:caps/>
          <w:sz w:val="32"/>
          <w:szCs w:val="32"/>
          <w:vertAlign w:val="superscript"/>
        </w:rPr>
        <w:t xml:space="preserve">: </w:t>
      </w:r>
      <w:r w:rsidR="004779CD">
        <w:rPr>
          <w:rFonts w:ascii="Times New Roman Bold" w:hAnsi="Times New Roman Bold"/>
          <w:b/>
          <w:caps/>
          <w:sz w:val="32"/>
          <w:szCs w:val="32"/>
          <w:vertAlign w:val="superscript"/>
        </w:rPr>
        <w:t>predictive capacity</w:t>
      </w:r>
    </w:p>
    <w:p w14:paraId="0790DC0D" w14:textId="77777777" w:rsidR="008038F6" w:rsidRDefault="008038F6" w:rsidP="00176956">
      <w:pPr>
        <w:ind w:right="3"/>
        <w:jc w:val="both"/>
        <w:rPr>
          <w:b/>
          <w:szCs w:val="22"/>
        </w:rPr>
      </w:pPr>
      <w:r>
        <w:rPr>
          <w:b/>
          <w:szCs w:val="22"/>
        </w:rPr>
        <w:t xml:space="preserve">5.1 </w:t>
      </w:r>
      <w:r w:rsidR="004779CD">
        <w:rPr>
          <w:b/>
          <w:szCs w:val="22"/>
        </w:rPr>
        <w:t>T</w:t>
      </w:r>
      <w:r>
        <w:rPr>
          <w:b/>
          <w:szCs w:val="22"/>
        </w:rPr>
        <w:t xml:space="preserve">est items used for assessing </w:t>
      </w:r>
      <w:r w:rsidR="004779CD">
        <w:rPr>
          <w:b/>
          <w:szCs w:val="22"/>
        </w:rPr>
        <w:t>predictive capacity</w:t>
      </w:r>
    </w:p>
    <w:p w14:paraId="5B56829D" w14:textId="0603181F" w:rsidR="008023DD" w:rsidRPr="002064CF" w:rsidRDefault="008023DD" w:rsidP="008023DD">
      <w:pPr>
        <w:pBdr>
          <w:top w:val="single" w:sz="4" w:space="1" w:color="auto" w:shadow="1"/>
          <w:left w:val="single" w:sz="4" w:space="4" w:color="auto" w:shadow="1"/>
          <w:bottom w:val="single" w:sz="4" w:space="1" w:color="auto" w:shadow="1"/>
          <w:right w:val="single" w:sz="4" w:space="4" w:color="auto" w:shadow="1"/>
        </w:pBdr>
        <w:ind w:right="3"/>
        <w:jc w:val="both"/>
        <w:rPr>
          <w:lang w:val="en-US"/>
        </w:rPr>
      </w:pPr>
      <w:r w:rsidRPr="002064CF">
        <w:rPr>
          <w:lang w:val="en-US"/>
        </w:rPr>
        <w:t xml:space="preserve">The full list of </w:t>
      </w:r>
      <w:r w:rsidR="00DB3B86">
        <w:rPr>
          <w:lang w:val="en-US"/>
        </w:rPr>
        <w:t xml:space="preserve">43 </w:t>
      </w:r>
      <w:r w:rsidRPr="002064CF">
        <w:rPr>
          <w:lang w:val="en-US"/>
        </w:rPr>
        <w:t>test items</w:t>
      </w:r>
      <w:r w:rsidR="00DB3B86">
        <w:rPr>
          <w:lang w:val="en-US"/>
        </w:rPr>
        <w:t xml:space="preserve"> used to assess the predictive capacity of the RSMN assay</w:t>
      </w:r>
      <w:r w:rsidRPr="002064CF">
        <w:rPr>
          <w:lang w:val="en-US"/>
        </w:rPr>
        <w:t>, including their names, CAS numbers, commercial source, purity, physical form</w:t>
      </w:r>
      <w:r w:rsidR="006B1DA8">
        <w:rPr>
          <w:lang w:val="en-US"/>
        </w:rPr>
        <w:t>,</w:t>
      </w:r>
      <w:r w:rsidRPr="002064CF">
        <w:rPr>
          <w:lang w:val="en-US"/>
        </w:rPr>
        <w:t xml:space="preserve"> and any other relevant physical/chemical properties (e.g. chemical classes/organic functional groups, MW, LogP), is presented in the first worksheet of Attachment 9.</w:t>
      </w:r>
    </w:p>
    <w:p w14:paraId="20DD9B1A" w14:textId="37A3BBF3" w:rsidR="008023DD" w:rsidRPr="002064CF" w:rsidRDefault="008023DD" w:rsidP="008023DD">
      <w:pPr>
        <w:pBdr>
          <w:top w:val="single" w:sz="4" w:space="1" w:color="auto" w:shadow="1"/>
          <w:left w:val="single" w:sz="4" w:space="4" w:color="auto" w:shadow="1"/>
          <w:bottom w:val="single" w:sz="4" w:space="1" w:color="auto" w:shadow="1"/>
          <w:right w:val="single" w:sz="4" w:space="4" w:color="auto" w:shadow="1"/>
        </w:pBdr>
        <w:ind w:right="3"/>
        <w:jc w:val="both"/>
        <w:rPr>
          <w:lang w:val="en-US"/>
        </w:rPr>
      </w:pPr>
      <w:r w:rsidRPr="002064CF">
        <w:rPr>
          <w:lang w:val="en-US"/>
        </w:rPr>
        <w:t xml:space="preserve">Information on MoA, reference </w:t>
      </w:r>
      <w:r w:rsidRPr="005713D7">
        <w:rPr>
          <w:i/>
          <w:lang w:val="en-US"/>
        </w:rPr>
        <w:t>in vitro</w:t>
      </w:r>
      <w:r w:rsidRPr="002064CF">
        <w:rPr>
          <w:lang w:val="en-US"/>
        </w:rPr>
        <w:t xml:space="preserve"> and </w:t>
      </w:r>
      <w:r w:rsidRPr="005713D7">
        <w:rPr>
          <w:i/>
          <w:lang w:val="en-US"/>
        </w:rPr>
        <w:t>in vivo</w:t>
      </w:r>
      <w:r w:rsidRPr="002064CF">
        <w:rPr>
          <w:lang w:val="en-US"/>
        </w:rPr>
        <w:t xml:space="preserve"> genotoxicity data, as </w:t>
      </w:r>
      <w:r w:rsidR="00B36310">
        <w:rPr>
          <w:lang w:val="en-US"/>
        </w:rPr>
        <w:t>well as carcinogenicity data are</w:t>
      </w:r>
      <w:r w:rsidRPr="002064CF">
        <w:rPr>
          <w:lang w:val="en-US"/>
        </w:rPr>
        <w:t xml:space="preserve"> presented in </w:t>
      </w:r>
      <w:r w:rsidR="00DB3B86">
        <w:rPr>
          <w:lang w:val="en-US"/>
        </w:rPr>
        <w:t>Attachment</w:t>
      </w:r>
      <w:r w:rsidR="00DB3B86" w:rsidRPr="002064CF">
        <w:rPr>
          <w:lang w:val="en-US"/>
        </w:rPr>
        <w:t xml:space="preserve"> </w:t>
      </w:r>
      <w:r w:rsidRPr="002064CF">
        <w:rPr>
          <w:lang w:val="en-US"/>
        </w:rPr>
        <w:t>10.</w:t>
      </w:r>
    </w:p>
    <w:p w14:paraId="7093F4A8" w14:textId="3B1B9076" w:rsidR="008023DD" w:rsidRDefault="008023DD" w:rsidP="008023DD">
      <w:pPr>
        <w:pBdr>
          <w:top w:val="single" w:sz="4" w:space="1" w:color="auto" w:shadow="1"/>
          <w:left w:val="single" w:sz="4" w:space="4" w:color="auto" w:shadow="1"/>
          <w:bottom w:val="single" w:sz="4" w:space="1" w:color="auto" w:shadow="1"/>
          <w:right w:val="single" w:sz="4" w:space="4" w:color="auto" w:shadow="1"/>
        </w:pBdr>
        <w:ind w:right="3"/>
        <w:jc w:val="both"/>
        <w:rPr>
          <w:lang w:val="en-US"/>
        </w:rPr>
      </w:pPr>
      <w:r w:rsidRPr="002064CF">
        <w:rPr>
          <w:lang w:val="en-US"/>
        </w:rPr>
        <w:t xml:space="preserve">Test items have been selected to cover a variety of MoA and to include three categories: true negative (10) and true positive (21) chemicals, with concordant </w:t>
      </w:r>
      <w:r w:rsidRPr="005713D7">
        <w:rPr>
          <w:i/>
          <w:lang w:val="en-US"/>
        </w:rPr>
        <w:t>in vitro</w:t>
      </w:r>
      <w:r w:rsidRPr="002064CF">
        <w:rPr>
          <w:lang w:val="en-US"/>
        </w:rPr>
        <w:t xml:space="preserve"> and </w:t>
      </w:r>
      <w:r w:rsidRPr="005713D7">
        <w:rPr>
          <w:i/>
          <w:lang w:val="en-US"/>
        </w:rPr>
        <w:t>in vivo</w:t>
      </w:r>
      <w:r w:rsidRPr="002064CF">
        <w:rPr>
          <w:lang w:val="en-US"/>
        </w:rPr>
        <w:t xml:space="preserve"> data, </w:t>
      </w:r>
      <w:r w:rsidR="006B1DA8">
        <w:rPr>
          <w:lang w:val="en-US"/>
        </w:rPr>
        <w:t>and</w:t>
      </w:r>
      <w:r w:rsidRPr="002064CF">
        <w:rPr>
          <w:lang w:val="en-US"/>
        </w:rPr>
        <w:t xml:space="preserve"> misleading positives (12) for which positive </w:t>
      </w:r>
      <w:r w:rsidRPr="005713D7">
        <w:rPr>
          <w:i/>
          <w:lang w:val="en-US"/>
        </w:rPr>
        <w:t>in vitro</w:t>
      </w:r>
      <w:r w:rsidRPr="002064CF">
        <w:rPr>
          <w:lang w:val="en-US"/>
        </w:rPr>
        <w:t xml:space="preserve"> findin</w:t>
      </w:r>
      <w:r w:rsidR="006B1DA8">
        <w:rPr>
          <w:lang w:val="en-US"/>
        </w:rPr>
        <w:t>gs were reported</w:t>
      </w:r>
      <w:r w:rsidRPr="002064CF">
        <w:rPr>
          <w:lang w:val="en-US"/>
        </w:rPr>
        <w:t xml:space="preserve"> but not confirmed in </w:t>
      </w:r>
      <w:r w:rsidRPr="005713D7">
        <w:rPr>
          <w:i/>
          <w:lang w:val="en-US"/>
        </w:rPr>
        <w:t>in vivo</w:t>
      </w:r>
      <w:r w:rsidRPr="002064CF">
        <w:rPr>
          <w:lang w:val="en-US"/>
        </w:rPr>
        <w:t xml:space="preserve"> studies. </w:t>
      </w:r>
    </w:p>
    <w:p w14:paraId="63B79EAF" w14:textId="4C617634" w:rsidR="00DB3B86" w:rsidRPr="008938AE" w:rsidRDefault="00DB3B86" w:rsidP="008023DD">
      <w:pPr>
        <w:pBdr>
          <w:top w:val="single" w:sz="4" w:space="1" w:color="auto" w:shadow="1"/>
          <w:left w:val="single" w:sz="4" w:space="4" w:color="auto" w:shadow="1"/>
          <w:bottom w:val="single" w:sz="4" w:space="1" w:color="auto" w:shadow="1"/>
          <w:right w:val="single" w:sz="4" w:space="4" w:color="auto" w:shadow="1"/>
        </w:pBdr>
        <w:ind w:right="3"/>
        <w:jc w:val="both"/>
      </w:pPr>
      <w:r w:rsidRPr="00DB3B86">
        <w:t xml:space="preserve">The information provided in </w:t>
      </w:r>
      <w:r w:rsidR="00AF0257">
        <w:t>paragraph</w:t>
      </w:r>
      <w:r w:rsidR="00BF1F92">
        <w:t xml:space="preserve"> 2.5.1 is</w:t>
      </w:r>
      <w:r w:rsidRPr="00DB3B86">
        <w:t xml:space="preserve"> consistent with Attachment 9 and Attachment 14.</w:t>
      </w:r>
    </w:p>
    <w:p w14:paraId="4C053295" w14:textId="6A4C9C60" w:rsidR="008023DD" w:rsidRPr="008938AE" w:rsidRDefault="008023DD" w:rsidP="008938AE">
      <w:pPr>
        <w:pBdr>
          <w:top w:val="single" w:sz="4" w:space="1" w:color="auto" w:shadow="1"/>
          <w:left w:val="single" w:sz="4" w:space="4" w:color="auto" w:shadow="1"/>
          <w:bottom w:val="single" w:sz="4" w:space="1" w:color="auto" w:shadow="1"/>
          <w:right w:val="single" w:sz="4" w:space="4" w:color="auto" w:shadow="1"/>
        </w:pBdr>
        <w:ind w:right="3"/>
        <w:jc w:val="both"/>
        <w:rPr>
          <w:lang w:val="en-US"/>
        </w:rPr>
      </w:pPr>
      <w:r w:rsidRPr="002064CF">
        <w:rPr>
          <w:lang w:val="en-US"/>
        </w:rPr>
        <w:t>Two of the test items used for the optimi</w:t>
      </w:r>
      <w:r w:rsidR="00EF5A8A">
        <w:rPr>
          <w:lang w:val="en-US"/>
        </w:rPr>
        <w:t>s</w:t>
      </w:r>
      <w:r w:rsidRPr="002064CF">
        <w:rPr>
          <w:lang w:val="en-US"/>
        </w:rPr>
        <w:t xml:space="preserve">ation of the test method were also used in </w:t>
      </w:r>
      <w:r>
        <w:rPr>
          <w:lang w:val="en-US"/>
        </w:rPr>
        <w:t>the assessment of predictivity.</w:t>
      </w:r>
    </w:p>
    <w:p w14:paraId="236A187F" w14:textId="77777777" w:rsidR="008038F6" w:rsidRDefault="008038F6" w:rsidP="00176956">
      <w:pPr>
        <w:ind w:right="3"/>
        <w:jc w:val="both"/>
        <w:rPr>
          <w:i/>
          <w:szCs w:val="22"/>
        </w:rPr>
      </w:pPr>
    </w:p>
    <w:p w14:paraId="383A87D8" w14:textId="77777777" w:rsidR="008038F6" w:rsidRDefault="008038F6" w:rsidP="00176956">
      <w:pPr>
        <w:ind w:right="3"/>
        <w:jc w:val="both"/>
        <w:rPr>
          <w:b/>
          <w:szCs w:val="22"/>
        </w:rPr>
      </w:pPr>
      <w:r>
        <w:rPr>
          <w:b/>
          <w:szCs w:val="22"/>
        </w:rPr>
        <w:t>5.2 Assessment of the predictive capacity of the test method</w:t>
      </w:r>
    </w:p>
    <w:p w14:paraId="387A3CCA" w14:textId="7B5C2A84" w:rsidR="008023DD" w:rsidRPr="002648EB" w:rsidRDefault="008023DD" w:rsidP="008023DD">
      <w:pPr>
        <w:pBdr>
          <w:top w:val="single" w:sz="4" w:space="1" w:color="auto"/>
          <w:left w:val="single" w:sz="4" w:space="4" w:color="auto"/>
          <w:bottom w:val="single" w:sz="4" w:space="1" w:color="auto"/>
          <w:right w:val="single" w:sz="4" w:space="4" w:color="auto"/>
        </w:pBdr>
        <w:ind w:right="3"/>
        <w:jc w:val="both"/>
        <w:rPr>
          <w:rFonts w:cs="Arial"/>
          <w:i/>
          <w:szCs w:val="22"/>
        </w:rPr>
      </w:pPr>
      <w:r w:rsidRPr="002648EB">
        <w:rPr>
          <w:rFonts w:cs="Arial"/>
          <w:szCs w:val="22"/>
        </w:rPr>
        <w:t xml:space="preserve">The predictive capacity </w:t>
      </w:r>
      <w:r w:rsidR="006B1DA8">
        <w:rPr>
          <w:rFonts w:cs="Arial"/>
          <w:szCs w:val="22"/>
        </w:rPr>
        <w:t xml:space="preserve">of the RSMN </w:t>
      </w:r>
      <w:r w:rsidRPr="002648EB">
        <w:rPr>
          <w:rFonts w:cs="Arial"/>
          <w:szCs w:val="22"/>
        </w:rPr>
        <w:t>was analysed using two different approaches and the related results were reported in the TST as well as in A</w:t>
      </w:r>
      <w:r w:rsidR="008415FB">
        <w:rPr>
          <w:rFonts w:cs="Arial"/>
          <w:szCs w:val="22"/>
        </w:rPr>
        <w:t>ttachment</w:t>
      </w:r>
      <w:r w:rsidRPr="002648EB">
        <w:rPr>
          <w:rFonts w:cs="Arial"/>
          <w:szCs w:val="22"/>
        </w:rPr>
        <w:t xml:space="preserve"> 9</w:t>
      </w:r>
      <w:r w:rsidR="006B1DA8">
        <w:rPr>
          <w:rFonts w:cs="Arial"/>
          <w:szCs w:val="22"/>
        </w:rPr>
        <w:t xml:space="preserve"> (</w:t>
      </w:r>
      <w:r w:rsidR="008415FB">
        <w:rPr>
          <w:rFonts w:cs="Arial"/>
          <w:szCs w:val="22"/>
        </w:rPr>
        <w:t>predictive capacity worksheet</w:t>
      </w:r>
      <w:r w:rsidR="006B1DA8">
        <w:rPr>
          <w:rFonts w:cs="Arial"/>
          <w:szCs w:val="22"/>
        </w:rPr>
        <w:t>)</w:t>
      </w:r>
      <w:r w:rsidRPr="002648EB">
        <w:rPr>
          <w:rFonts w:cs="Arial"/>
          <w:szCs w:val="22"/>
        </w:rPr>
        <w:t xml:space="preserve">. The </w:t>
      </w:r>
      <w:r w:rsidR="008415FB" w:rsidRPr="002648EB">
        <w:rPr>
          <w:rFonts w:cs="Arial"/>
          <w:szCs w:val="22"/>
        </w:rPr>
        <w:t>prediction</w:t>
      </w:r>
      <w:r w:rsidRPr="002648EB">
        <w:rPr>
          <w:rFonts w:cs="Arial"/>
          <w:szCs w:val="22"/>
        </w:rPr>
        <w:t xml:space="preserve"> model appears to be applied consistently. In a few </w:t>
      </w:r>
      <w:r w:rsidR="008415FB" w:rsidRPr="002648EB">
        <w:rPr>
          <w:rFonts w:cs="Arial"/>
          <w:szCs w:val="22"/>
        </w:rPr>
        <w:t>cases</w:t>
      </w:r>
      <w:r w:rsidRPr="002648EB">
        <w:rPr>
          <w:rFonts w:cs="Arial"/>
          <w:szCs w:val="22"/>
        </w:rPr>
        <w:t xml:space="preserve"> expert judgement was applied to come to a final lab call, e.g. </w:t>
      </w:r>
      <w:r w:rsidR="00EF5A8A">
        <w:rPr>
          <w:rFonts w:cs="Arial"/>
          <w:szCs w:val="22"/>
        </w:rPr>
        <w:t>t</w:t>
      </w:r>
      <w:r w:rsidRPr="002648EB">
        <w:rPr>
          <w:rFonts w:cs="Arial"/>
          <w:szCs w:val="22"/>
        </w:rPr>
        <w:t>olbutamide, lab</w:t>
      </w:r>
      <w:r w:rsidR="00EF5A8A">
        <w:rPr>
          <w:rFonts w:cs="Arial"/>
          <w:szCs w:val="22"/>
        </w:rPr>
        <w:t>oratory</w:t>
      </w:r>
      <w:r w:rsidRPr="002648EB">
        <w:rPr>
          <w:rFonts w:cs="Arial"/>
          <w:szCs w:val="22"/>
        </w:rPr>
        <w:t xml:space="preserve"> 2.</w:t>
      </w:r>
      <w:r w:rsidRPr="002648EB">
        <w:rPr>
          <w:rFonts w:cs="Arial"/>
          <w:i/>
          <w:szCs w:val="22"/>
        </w:rPr>
        <w:t xml:space="preserve"> </w:t>
      </w:r>
    </w:p>
    <w:p w14:paraId="04540282" w14:textId="77777777" w:rsidR="008038F6" w:rsidRPr="00324444" w:rsidRDefault="008038F6" w:rsidP="00176956">
      <w:pPr>
        <w:ind w:right="3"/>
        <w:jc w:val="both"/>
        <w:rPr>
          <w:i/>
          <w:szCs w:val="22"/>
        </w:rPr>
      </w:pPr>
    </w:p>
    <w:p w14:paraId="25F0DA18" w14:textId="77777777" w:rsidR="008038F6" w:rsidRPr="00185E83" w:rsidRDefault="008038F6" w:rsidP="00176956">
      <w:pPr>
        <w:ind w:right="3"/>
        <w:jc w:val="both"/>
        <w:rPr>
          <w:b/>
          <w:caps/>
          <w:szCs w:val="22"/>
          <w:vertAlign w:val="superscript"/>
        </w:rPr>
      </w:pPr>
      <w:r w:rsidRPr="00185E83">
        <w:rPr>
          <w:b/>
          <w:caps/>
          <w:szCs w:val="22"/>
        </w:rPr>
        <w:t>5.3</w:t>
      </w:r>
      <w:r>
        <w:rPr>
          <w:b/>
          <w:caps/>
          <w:szCs w:val="22"/>
        </w:rPr>
        <w:t xml:space="preserve"> </w:t>
      </w:r>
      <w:r w:rsidRPr="00185E83">
        <w:rPr>
          <w:b/>
          <w:szCs w:val="22"/>
        </w:rPr>
        <w:t xml:space="preserve">Identification and discussion of </w:t>
      </w:r>
      <w:r>
        <w:rPr>
          <w:b/>
          <w:szCs w:val="22"/>
        </w:rPr>
        <w:t>false predictions</w:t>
      </w:r>
    </w:p>
    <w:p w14:paraId="23EB8C48" w14:textId="2FEBAEB6" w:rsidR="008023DD" w:rsidRPr="002648EB" w:rsidRDefault="008023DD" w:rsidP="008023DD">
      <w:pPr>
        <w:pBdr>
          <w:top w:val="single" w:sz="4" w:space="1" w:color="auto"/>
          <w:left w:val="single" w:sz="4" w:space="4" w:color="auto"/>
          <w:bottom w:val="single" w:sz="4" w:space="1" w:color="auto"/>
          <w:right w:val="single" w:sz="4" w:space="4" w:color="auto"/>
        </w:pBdr>
        <w:ind w:right="3"/>
        <w:jc w:val="both"/>
        <w:rPr>
          <w:rFonts w:cs="Arial"/>
          <w:i/>
          <w:szCs w:val="22"/>
        </w:rPr>
      </w:pPr>
      <w:r w:rsidRPr="002648EB">
        <w:rPr>
          <w:rFonts w:cs="Arial"/>
          <w:szCs w:val="22"/>
        </w:rPr>
        <w:t xml:space="preserve">False predictions have been identified and </w:t>
      </w:r>
      <w:r w:rsidR="008415FB">
        <w:rPr>
          <w:rFonts w:cs="Arial"/>
          <w:szCs w:val="22"/>
        </w:rPr>
        <w:t xml:space="preserve">extensively </w:t>
      </w:r>
      <w:r w:rsidRPr="002648EB">
        <w:rPr>
          <w:rFonts w:cs="Arial"/>
          <w:szCs w:val="22"/>
        </w:rPr>
        <w:t>discussed</w:t>
      </w:r>
      <w:r w:rsidR="008415FB">
        <w:rPr>
          <w:rFonts w:cs="Arial"/>
          <w:szCs w:val="22"/>
        </w:rPr>
        <w:t xml:space="preserve"> in </w:t>
      </w:r>
      <w:r w:rsidR="00BF1F92">
        <w:rPr>
          <w:rFonts w:cs="Arial"/>
          <w:szCs w:val="22"/>
        </w:rPr>
        <w:t>paragraph</w:t>
      </w:r>
      <w:r w:rsidR="008415FB">
        <w:rPr>
          <w:rFonts w:cs="Arial"/>
          <w:szCs w:val="22"/>
        </w:rPr>
        <w:t xml:space="preserve"> 2.5.3</w:t>
      </w:r>
      <w:r w:rsidRPr="002648EB">
        <w:rPr>
          <w:rFonts w:cs="Arial"/>
          <w:szCs w:val="22"/>
        </w:rPr>
        <w:t xml:space="preserve">. </w:t>
      </w:r>
      <w:r w:rsidR="00EF5A8A">
        <w:rPr>
          <w:rFonts w:cs="Arial"/>
          <w:szCs w:val="22"/>
        </w:rPr>
        <w:t>Thirteen</w:t>
      </w:r>
      <w:r w:rsidR="008A603D">
        <w:rPr>
          <w:rFonts w:cs="Arial"/>
          <w:szCs w:val="22"/>
        </w:rPr>
        <w:t xml:space="preserve"> test items were not correctly predicted in at least one laboratory. </w:t>
      </w:r>
      <w:r w:rsidRPr="002648EB">
        <w:rPr>
          <w:rFonts w:cs="Arial"/>
          <w:szCs w:val="22"/>
        </w:rPr>
        <w:t xml:space="preserve">In about half of </w:t>
      </w:r>
      <w:r w:rsidRPr="002648EB">
        <w:rPr>
          <w:rFonts w:cs="Arial"/>
          <w:szCs w:val="22"/>
        </w:rPr>
        <w:lastRenderedPageBreak/>
        <w:t>the cases</w:t>
      </w:r>
      <w:r w:rsidR="008415FB">
        <w:rPr>
          <w:rFonts w:cs="Arial"/>
          <w:szCs w:val="22"/>
        </w:rPr>
        <w:t>,</w:t>
      </w:r>
      <w:r w:rsidRPr="002648EB">
        <w:rPr>
          <w:rFonts w:cs="Arial"/>
          <w:szCs w:val="22"/>
        </w:rPr>
        <w:t xml:space="preserve"> a possible explanation for </w:t>
      </w:r>
      <w:r w:rsidR="008415FB" w:rsidRPr="002648EB">
        <w:rPr>
          <w:rFonts w:cs="Arial"/>
          <w:szCs w:val="22"/>
        </w:rPr>
        <w:t>misclassification</w:t>
      </w:r>
      <w:r w:rsidRPr="002648EB">
        <w:rPr>
          <w:rFonts w:cs="Arial"/>
          <w:szCs w:val="22"/>
        </w:rPr>
        <w:t xml:space="preserve"> has been suggested</w:t>
      </w:r>
      <w:r w:rsidR="008415FB">
        <w:rPr>
          <w:rFonts w:cs="Arial"/>
          <w:szCs w:val="22"/>
        </w:rPr>
        <w:t xml:space="preserve"> by the </w:t>
      </w:r>
      <w:r w:rsidR="00F5755F">
        <w:rPr>
          <w:rFonts w:cs="Arial"/>
          <w:szCs w:val="22"/>
        </w:rPr>
        <w:t>Test Submitter</w:t>
      </w:r>
      <w:r w:rsidRPr="002648EB">
        <w:rPr>
          <w:rFonts w:cs="Arial"/>
          <w:szCs w:val="22"/>
        </w:rPr>
        <w:t>.</w:t>
      </w:r>
      <w:r w:rsidRPr="002648EB">
        <w:rPr>
          <w:rFonts w:cs="Arial"/>
          <w:i/>
          <w:szCs w:val="22"/>
        </w:rPr>
        <w:t xml:space="preserve"> </w:t>
      </w:r>
    </w:p>
    <w:p w14:paraId="02E94F95" w14:textId="77777777" w:rsidR="008038F6" w:rsidRDefault="008038F6" w:rsidP="00176956">
      <w:pPr>
        <w:ind w:right="3"/>
        <w:jc w:val="both"/>
        <w:rPr>
          <w:i/>
          <w:szCs w:val="22"/>
        </w:rPr>
      </w:pPr>
    </w:p>
    <w:p w14:paraId="4B9EA8B2" w14:textId="77777777" w:rsidR="005D7CAE" w:rsidRPr="00185E83" w:rsidRDefault="005D7CAE" w:rsidP="005D7CAE">
      <w:pPr>
        <w:ind w:right="3"/>
        <w:jc w:val="both"/>
        <w:rPr>
          <w:b/>
          <w:caps/>
          <w:szCs w:val="22"/>
          <w:vertAlign w:val="superscript"/>
        </w:rPr>
      </w:pPr>
      <w:r w:rsidRPr="00185E83">
        <w:rPr>
          <w:b/>
          <w:caps/>
          <w:szCs w:val="22"/>
        </w:rPr>
        <w:t>5.</w:t>
      </w:r>
      <w:r>
        <w:rPr>
          <w:b/>
          <w:caps/>
          <w:szCs w:val="22"/>
        </w:rPr>
        <w:t xml:space="preserve">4 </w:t>
      </w:r>
      <w:r>
        <w:rPr>
          <w:b/>
          <w:szCs w:val="22"/>
        </w:rPr>
        <w:t>Quality/variability/uncertainty of the reference data used to calculate predictive capacity</w:t>
      </w:r>
    </w:p>
    <w:p w14:paraId="20BA9CE5" w14:textId="2907EF10" w:rsidR="008023DD" w:rsidRPr="002648EB" w:rsidRDefault="008023DD" w:rsidP="008023DD">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All relevant information on the reference data has been summarised in Attachment 10.</w:t>
      </w:r>
      <w:r w:rsidR="006B2E46">
        <w:rPr>
          <w:rFonts w:cs="Arial"/>
          <w:szCs w:val="22"/>
        </w:rPr>
        <w:t xml:space="preserve"> </w:t>
      </w:r>
      <w:r w:rsidR="006B2E46" w:rsidRPr="006B2E46">
        <w:rPr>
          <w:rFonts w:cs="Arial"/>
          <w:szCs w:val="22"/>
        </w:rPr>
        <w:t>Reference data for true positive (TP), misleading positive (MP), and true negative (TN) chemicals</w:t>
      </w:r>
      <w:r w:rsidR="006B2E46">
        <w:rPr>
          <w:rFonts w:cs="Arial"/>
          <w:szCs w:val="22"/>
        </w:rPr>
        <w:t xml:space="preserve"> were submitted by the </w:t>
      </w:r>
      <w:r w:rsidR="00F5755F">
        <w:rPr>
          <w:rFonts w:cs="Arial"/>
          <w:szCs w:val="22"/>
        </w:rPr>
        <w:t>Test Submitter</w:t>
      </w:r>
      <w:r w:rsidR="006B2E46">
        <w:rPr>
          <w:rFonts w:cs="Arial"/>
          <w:szCs w:val="22"/>
        </w:rPr>
        <w:t>.</w:t>
      </w:r>
      <w:r w:rsidRPr="002648EB">
        <w:rPr>
          <w:rFonts w:cs="Arial"/>
          <w:i/>
          <w:szCs w:val="22"/>
        </w:rPr>
        <w:t xml:space="preserve"> </w:t>
      </w:r>
      <w:r w:rsidRPr="002648EB">
        <w:rPr>
          <w:rFonts w:cs="Arial"/>
          <w:szCs w:val="22"/>
        </w:rPr>
        <w:t>An analysis of the possible uncertainty of these data has been presented identifying a few test items that have a slightly higher uncertainty when compared to the others.</w:t>
      </w:r>
    </w:p>
    <w:p w14:paraId="53049076" w14:textId="77777777" w:rsidR="005D7CAE" w:rsidRDefault="005D7CAE" w:rsidP="005D7CAE">
      <w:pPr>
        <w:ind w:right="3"/>
        <w:jc w:val="both"/>
        <w:rPr>
          <w:i/>
          <w:szCs w:val="22"/>
        </w:rPr>
      </w:pPr>
    </w:p>
    <w:p w14:paraId="7126EF7B" w14:textId="77777777" w:rsidR="008038F6" w:rsidRPr="007511E0" w:rsidRDefault="00817FE8" w:rsidP="00176956">
      <w:pPr>
        <w:ind w:right="3"/>
        <w:jc w:val="both"/>
        <w:rPr>
          <w:b/>
          <w:szCs w:val="22"/>
        </w:rPr>
      </w:pPr>
      <w:r>
        <w:rPr>
          <w:b/>
          <w:szCs w:val="22"/>
        </w:rPr>
        <w:t>5.5</w:t>
      </w:r>
      <w:r w:rsidR="008038F6" w:rsidRPr="007511E0">
        <w:rPr>
          <w:b/>
          <w:szCs w:val="22"/>
        </w:rPr>
        <w:t xml:space="preserve"> Overall conclusions on Module </w:t>
      </w:r>
      <w:r w:rsidR="008038F6">
        <w:rPr>
          <w:b/>
          <w:szCs w:val="22"/>
        </w:rPr>
        <w:t>5</w:t>
      </w:r>
    </w:p>
    <w:p w14:paraId="7DBE421B" w14:textId="7B8689B7" w:rsidR="008023DD" w:rsidRPr="002648EB" w:rsidRDefault="008023DD" w:rsidP="008023DD">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 xml:space="preserve">Overall, the information provided </w:t>
      </w:r>
      <w:r w:rsidR="006B2E46">
        <w:rPr>
          <w:rFonts w:cs="Arial"/>
          <w:szCs w:val="22"/>
        </w:rPr>
        <w:t xml:space="preserve">in Module 5 </w:t>
      </w:r>
      <w:r w:rsidR="006B1DA8">
        <w:rPr>
          <w:rFonts w:cs="Arial"/>
          <w:szCs w:val="22"/>
        </w:rPr>
        <w:t xml:space="preserve">by the </w:t>
      </w:r>
      <w:r w:rsidR="00F5755F">
        <w:rPr>
          <w:rFonts w:cs="Arial"/>
          <w:szCs w:val="22"/>
        </w:rPr>
        <w:t>Test Submitter</w:t>
      </w:r>
      <w:r w:rsidR="006B1DA8">
        <w:rPr>
          <w:rFonts w:cs="Arial"/>
          <w:szCs w:val="22"/>
        </w:rPr>
        <w:t xml:space="preserve"> </w:t>
      </w:r>
      <w:r w:rsidRPr="002648EB">
        <w:rPr>
          <w:rFonts w:cs="Arial"/>
          <w:szCs w:val="22"/>
        </w:rPr>
        <w:t>should be sufficient to allow an assessment of the predictive capacity</w:t>
      </w:r>
      <w:r w:rsidR="006B1DA8">
        <w:rPr>
          <w:rFonts w:cs="Arial"/>
          <w:szCs w:val="22"/>
        </w:rPr>
        <w:t xml:space="preserve"> of the RSMN</w:t>
      </w:r>
      <w:r w:rsidRPr="002648EB">
        <w:rPr>
          <w:rFonts w:cs="Arial"/>
          <w:szCs w:val="22"/>
        </w:rPr>
        <w:t>.</w:t>
      </w:r>
    </w:p>
    <w:p w14:paraId="6910DC97" w14:textId="77777777" w:rsidR="008038F6" w:rsidRDefault="008038F6" w:rsidP="00176956">
      <w:pPr>
        <w:ind w:right="3"/>
        <w:jc w:val="both"/>
        <w:rPr>
          <w:i/>
          <w:szCs w:val="22"/>
        </w:rPr>
      </w:pPr>
    </w:p>
    <w:p w14:paraId="46EB814B" w14:textId="77777777" w:rsidR="008038F6" w:rsidRDefault="008038F6" w:rsidP="00176956">
      <w:pPr>
        <w:ind w:right="3"/>
        <w:jc w:val="both"/>
        <w:rPr>
          <w:rFonts w:ascii="Times New Roman Bold" w:hAnsi="Times New Roman Bold"/>
          <w:b/>
          <w:caps/>
          <w:sz w:val="32"/>
          <w:szCs w:val="32"/>
          <w:vertAlign w:val="superscript"/>
        </w:rPr>
      </w:pPr>
      <w:r>
        <w:rPr>
          <w:rFonts w:ascii="Times New Roman Bold" w:hAnsi="Times New Roman Bold"/>
          <w:b/>
          <w:caps/>
          <w:sz w:val="32"/>
          <w:szCs w:val="32"/>
          <w:vertAlign w:val="superscript"/>
        </w:rPr>
        <w:t xml:space="preserve">6. </w:t>
      </w:r>
      <w:r w:rsidRPr="00E1382A">
        <w:rPr>
          <w:rFonts w:ascii="Times New Roman Bold" w:hAnsi="Times New Roman Bold"/>
          <w:b/>
          <w:caps/>
          <w:sz w:val="32"/>
          <w:szCs w:val="32"/>
          <w:vertAlign w:val="superscript"/>
        </w:rPr>
        <w:t xml:space="preserve">MODULE </w:t>
      </w:r>
      <w:r>
        <w:rPr>
          <w:rFonts w:ascii="Times New Roman Bold" w:hAnsi="Times New Roman Bold"/>
          <w:b/>
          <w:caps/>
          <w:sz w:val="32"/>
          <w:szCs w:val="32"/>
          <w:vertAlign w:val="superscript"/>
        </w:rPr>
        <w:t>6</w:t>
      </w:r>
      <w:r w:rsidRPr="00E1382A">
        <w:rPr>
          <w:rFonts w:ascii="Times New Roman Bold" w:hAnsi="Times New Roman Bold"/>
          <w:b/>
          <w:caps/>
          <w:sz w:val="32"/>
          <w:szCs w:val="32"/>
          <w:vertAlign w:val="superscript"/>
        </w:rPr>
        <w:t xml:space="preserve">: </w:t>
      </w:r>
      <w:r w:rsidR="00817FE8">
        <w:rPr>
          <w:rFonts w:ascii="Times New Roman Bold" w:hAnsi="Times New Roman Bold"/>
          <w:b/>
          <w:caps/>
          <w:sz w:val="32"/>
          <w:szCs w:val="32"/>
          <w:vertAlign w:val="superscript"/>
        </w:rPr>
        <w:t>APPLICABILITY DOMAIN</w:t>
      </w:r>
    </w:p>
    <w:p w14:paraId="53CBFE6D" w14:textId="77777777" w:rsidR="008038F6" w:rsidRDefault="008038F6" w:rsidP="00176956">
      <w:pPr>
        <w:ind w:right="3"/>
        <w:jc w:val="both"/>
        <w:rPr>
          <w:b/>
          <w:szCs w:val="22"/>
        </w:rPr>
      </w:pPr>
      <w:r>
        <w:rPr>
          <w:b/>
          <w:szCs w:val="22"/>
        </w:rPr>
        <w:t xml:space="preserve">6.1 </w:t>
      </w:r>
      <w:r w:rsidR="00817FE8">
        <w:rPr>
          <w:b/>
          <w:szCs w:val="22"/>
        </w:rPr>
        <w:t>L</w:t>
      </w:r>
      <w:r>
        <w:rPr>
          <w:b/>
          <w:szCs w:val="22"/>
        </w:rPr>
        <w:t>imitations of the test me</w:t>
      </w:r>
      <w:r w:rsidR="00817FE8">
        <w:rPr>
          <w:b/>
          <w:szCs w:val="22"/>
        </w:rPr>
        <w:t>thod</w:t>
      </w:r>
    </w:p>
    <w:p w14:paraId="53EC6FD1" w14:textId="4C6B67F0" w:rsidR="008023DD" w:rsidRPr="002648EB" w:rsidRDefault="008023DD" w:rsidP="008023DD">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Based on the data generated during the study</w:t>
      </w:r>
      <w:r w:rsidR="0051629C">
        <w:rPr>
          <w:rFonts w:cs="Arial"/>
          <w:szCs w:val="22"/>
        </w:rPr>
        <w:t>,</w:t>
      </w:r>
      <w:r w:rsidRPr="002648EB">
        <w:rPr>
          <w:rFonts w:cs="Arial"/>
          <w:szCs w:val="22"/>
        </w:rPr>
        <w:t xml:space="preserve"> no apparent limitation of the applicability domain has been identified. </w:t>
      </w:r>
    </w:p>
    <w:p w14:paraId="308A850F" w14:textId="6811299C" w:rsidR="008023DD" w:rsidRPr="002648EB" w:rsidRDefault="00D4401F" w:rsidP="008023DD">
      <w:pPr>
        <w:pBdr>
          <w:top w:val="single" w:sz="4" w:space="1" w:color="auto"/>
          <w:left w:val="single" w:sz="4" w:space="4" w:color="auto"/>
          <w:bottom w:val="single" w:sz="4" w:space="1" w:color="auto"/>
          <w:right w:val="single" w:sz="4" w:space="4" w:color="auto"/>
        </w:pBdr>
        <w:ind w:right="3"/>
        <w:jc w:val="both"/>
        <w:rPr>
          <w:rFonts w:cs="Arial"/>
          <w:szCs w:val="22"/>
        </w:rPr>
      </w:pPr>
      <w:r>
        <w:rPr>
          <w:rFonts w:cs="Arial"/>
          <w:szCs w:val="22"/>
        </w:rPr>
        <w:t xml:space="preserve">The </w:t>
      </w:r>
      <w:r w:rsidR="00F5755F">
        <w:rPr>
          <w:rFonts w:cs="Arial"/>
          <w:szCs w:val="22"/>
        </w:rPr>
        <w:t>Test Submitter</w:t>
      </w:r>
      <w:r w:rsidR="008023DD" w:rsidRPr="002648EB">
        <w:rPr>
          <w:rFonts w:cs="Arial"/>
          <w:szCs w:val="22"/>
        </w:rPr>
        <w:t xml:space="preserve"> </w:t>
      </w:r>
      <w:r w:rsidR="008123D3">
        <w:rPr>
          <w:rFonts w:cs="Arial"/>
          <w:szCs w:val="22"/>
        </w:rPr>
        <w:t>has recognised</w:t>
      </w:r>
      <w:r w:rsidR="008023DD" w:rsidRPr="002648EB">
        <w:rPr>
          <w:rFonts w:cs="Arial"/>
          <w:szCs w:val="22"/>
        </w:rPr>
        <w:t xml:space="preserve"> that the applicability domain of the RSMN may need further re-evaluation once more data are published. </w:t>
      </w:r>
    </w:p>
    <w:p w14:paraId="4D1F6C03" w14:textId="035F5280" w:rsidR="008023DD" w:rsidRPr="002648EB" w:rsidRDefault="008023DD" w:rsidP="008023DD">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 xml:space="preserve">The only </w:t>
      </w:r>
      <w:r w:rsidR="0051629C">
        <w:rPr>
          <w:rFonts w:cs="Arial"/>
          <w:szCs w:val="22"/>
        </w:rPr>
        <w:t xml:space="preserve">technical </w:t>
      </w:r>
      <w:r w:rsidRPr="002648EB">
        <w:rPr>
          <w:rFonts w:cs="Arial"/>
          <w:szCs w:val="22"/>
        </w:rPr>
        <w:t>limitation of the test method is related to the solubility of the substances and the suitability of the solvent used</w:t>
      </w:r>
      <w:r w:rsidR="00C5435B">
        <w:rPr>
          <w:rFonts w:cs="Arial"/>
          <w:szCs w:val="22"/>
        </w:rPr>
        <w:t xml:space="preserve"> (acetone or 70</w:t>
      </w:r>
      <w:r w:rsidR="008A647B">
        <w:rPr>
          <w:rFonts w:cs="Arial"/>
          <w:szCs w:val="22"/>
        </w:rPr>
        <w:t>% ethanol)</w:t>
      </w:r>
      <w:r w:rsidRPr="002648EB">
        <w:rPr>
          <w:rFonts w:cs="Arial"/>
          <w:szCs w:val="22"/>
        </w:rPr>
        <w:t>.</w:t>
      </w:r>
    </w:p>
    <w:p w14:paraId="3C812676" w14:textId="77777777" w:rsidR="008038F6" w:rsidRPr="00324444" w:rsidRDefault="008038F6" w:rsidP="00176956">
      <w:pPr>
        <w:ind w:right="3"/>
        <w:jc w:val="both"/>
        <w:rPr>
          <w:i/>
          <w:szCs w:val="22"/>
        </w:rPr>
      </w:pPr>
    </w:p>
    <w:p w14:paraId="41AD53B6" w14:textId="77777777" w:rsidR="008038F6" w:rsidRPr="007511E0" w:rsidRDefault="008038F6" w:rsidP="00176956">
      <w:pPr>
        <w:ind w:right="3"/>
        <w:jc w:val="both"/>
        <w:rPr>
          <w:b/>
          <w:szCs w:val="22"/>
        </w:rPr>
      </w:pPr>
      <w:r>
        <w:rPr>
          <w:b/>
          <w:szCs w:val="22"/>
        </w:rPr>
        <w:t xml:space="preserve">6.2 </w:t>
      </w:r>
      <w:r w:rsidRPr="007511E0">
        <w:rPr>
          <w:b/>
          <w:szCs w:val="22"/>
        </w:rPr>
        <w:t xml:space="preserve">Overall conclusions on Module </w:t>
      </w:r>
      <w:r>
        <w:rPr>
          <w:b/>
          <w:szCs w:val="22"/>
        </w:rPr>
        <w:t>6</w:t>
      </w:r>
    </w:p>
    <w:p w14:paraId="48DC597B" w14:textId="4FA0EE6C" w:rsidR="0051629C" w:rsidRPr="002648EB" w:rsidRDefault="008023DD" w:rsidP="0051629C">
      <w:pPr>
        <w:pBdr>
          <w:top w:val="single" w:sz="4" w:space="1" w:color="auto"/>
          <w:left w:val="single" w:sz="4" w:space="4" w:color="auto"/>
          <w:bottom w:val="single" w:sz="4" w:space="1" w:color="auto"/>
          <w:right w:val="single" w:sz="4" w:space="4" w:color="auto"/>
        </w:pBdr>
        <w:ind w:right="3"/>
        <w:jc w:val="both"/>
        <w:rPr>
          <w:rFonts w:cs="Arial"/>
          <w:szCs w:val="22"/>
        </w:rPr>
      </w:pPr>
      <w:r w:rsidRPr="002648EB">
        <w:rPr>
          <w:rFonts w:cs="Arial"/>
          <w:szCs w:val="22"/>
        </w:rPr>
        <w:t xml:space="preserve">The information </w:t>
      </w:r>
      <w:r w:rsidR="0051629C">
        <w:rPr>
          <w:rFonts w:cs="Arial"/>
          <w:szCs w:val="22"/>
        </w:rPr>
        <w:t xml:space="preserve">provided in Module 6 </w:t>
      </w:r>
      <w:r w:rsidR="006B1DA8">
        <w:rPr>
          <w:rFonts w:cs="Arial"/>
          <w:szCs w:val="22"/>
        </w:rPr>
        <w:t xml:space="preserve">by the </w:t>
      </w:r>
      <w:r w:rsidR="00F5755F">
        <w:rPr>
          <w:rFonts w:cs="Arial"/>
          <w:szCs w:val="22"/>
        </w:rPr>
        <w:t>Test Submitter</w:t>
      </w:r>
      <w:r w:rsidR="006B1DA8">
        <w:rPr>
          <w:rFonts w:cs="Arial"/>
          <w:szCs w:val="22"/>
        </w:rPr>
        <w:t xml:space="preserve"> </w:t>
      </w:r>
      <w:r w:rsidR="0051629C" w:rsidRPr="0051629C">
        <w:rPr>
          <w:rFonts w:cs="Arial"/>
          <w:szCs w:val="22"/>
        </w:rPr>
        <w:t>appears to be sufficient</w:t>
      </w:r>
      <w:r w:rsidR="00BF1F92">
        <w:rPr>
          <w:rFonts w:cs="Arial"/>
          <w:szCs w:val="22"/>
        </w:rPr>
        <w:t xml:space="preserve"> </w:t>
      </w:r>
      <w:r w:rsidR="006B1DA8">
        <w:rPr>
          <w:rFonts w:cs="Arial"/>
          <w:szCs w:val="22"/>
        </w:rPr>
        <w:t>for assessing the applicability domain of the RSMN</w:t>
      </w:r>
      <w:r w:rsidR="0051629C" w:rsidRPr="0051629C">
        <w:rPr>
          <w:rFonts w:cs="Arial"/>
          <w:szCs w:val="22"/>
        </w:rPr>
        <w:t>.</w:t>
      </w:r>
    </w:p>
    <w:p w14:paraId="798FCD05" w14:textId="77777777" w:rsidR="008038F6" w:rsidRDefault="008038F6" w:rsidP="00176956">
      <w:pPr>
        <w:ind w:right="3"/>
        <w:jc w:val="both"/>
        <w:rPr>
          <w:rFonts w:ascii="Times New Roman Bold" w:hAnsi="Times New Roman Bold"/>
          <w:b/>
          <w:caps/>
          <w:sz w:val="32"/>
          <w:szCs w:val="32"/>
          <w:vertAlign w:val="superscript"/>
        </w:rPr>
      </w:pPr>
    </w:p>
    <w:p w14:paraId="1CB944B6" w14:textId="77777777" w:rsidR="008038F6" w:rsidRPr="00324444" w:rsidRDefault="008038F6" w:rsidP="00176956">
      <w:pPr>
        <w:ind w:right="3"/>
        <w:jc w:val="both"/>
        <w:rPr>
          <w:rFonts w:ascii="Times New Roman Bold" w:hAnsi="Times New Roman Bold"/>
          <w:b/>
          <w:caps/>
          <w:sz w:val="32"/>
          <w:szCs w:val="32"/>
          <w:vertAlign w:val="superscript"/>
        </w:rPr>
      </w:pPr>
      <w:r w:rsidRPr="00324444">
        <w:rPr>
          <w:rFonts w:ascii="Times New Roman Bold" w:hAnsi="Times New Roman Bold"/>
          <w:b/>
          <w:caps/>
          <w:sz w:val="32"/>
          <w:szCs w:val="32"/>
          <w:vertAlign w:val="superscript"/>
        </w:rPr>
        <w:t>7. MODU</w:t>
      </w:r>
      <w:r w:rsidR="00817FE8">
        <w:rPr>
          <w:rFonts w:ascii="Times New Roman Bold" w:hAnsi="Times New Roman Bold"/>
          <w:b/>
          <w:caps/>
          <w:sz w:val="32"/>
          <w:szCs w:val="32"/>
          <w:vertAlign w:val="superscript"/>
        </w:rPr>
        <w:t>LE 7: PERFORMANCE STANDARDS</w:t>
      </w:r>
    </w:p>
    <w:p w14:paraId="0A8DB264" w14:textId="77777777" w:rsidR="008038F6" w:rsidRDefault="008038F6" w:rsidP="00176956">
      <w:pPr>
        <w:ind w:right="3"/>
        <w:jc w:val="both"/>
        <w:rPr>
          <w:b/>
          <w:szCs w:val="22"/>
        </w:rPr>
      </w:pPr>
      <w:r>
        <w:rPr>
          <w:b/>
          <w:szCs w:val="22"/>
        </w:rPr>
        <w:t>7.1 Suggestions for essential test method components, possible reference items, accuracy and reliability values</w:t>
      </w:r>
    </w:p>
    <w:p w14:paraId="78700DBC" w14:textId="0759D241" w:rsidR="003010F8" w:rsidRPr="0008751D" w:rsidRDefault="003010F8" w:rsidP="003010F8">
      <w:pPr>
        <w:pBdr>
          <w:top w:val="single" w:sz="4" w:space="1" w:color="auto"/>
          <w:left w:val="single" w:sz="4" w:space="4" w:color="auto"/>
          <w:bottom w:val="single" w:sz="4" w:space="1" w:color="auto"/>
          <w:right w:val="single" w:sz="4" w:space="4" w:color="auto"/>
        </w:pBdr>
        <w:ind w:right="3"/>
        <w:jc w:val="both"/>
        <w:rPr>
          <w:szCs w:val="22"/>
        </w:rPr>
      </w:pPr>
      <w:r w:rsidRPr="0008751D">
        <w:rPr>
          <w:szCs w:val="22"/>
        </w:rPr>
        <w:t>No</w:t>
      </w:r>
      <w:r w:rsidR="00D4401F">
        <w:rPr>
          <w:szCs w:val="22"/>
        </w:rPr>
        <w:t xml:space="preserve">t applicable. </w:t>
      </w:r>
      <w:r w:rsidR="00AE5DA8" w:rsidRPr="00AE5DA8">
        <w:rPr>
          <w:szCs w:val="22"/>
        </w:rPr>
        <w:t xml:space="preserve">The Test Submitter will provide information on performance standards in a </w:t>
      </w:r>
      <w:r w:rsidR="00A06568">
        <w:rPr>
          <w:szCs w:val="22"/>
        </w:rPr>
        <w:t>later step</w:t>
      </w:r>
      <w:r w:rsidR="00AE5DA8">
        <w:rPr>
          <w:szCs w:val="22"/>
        </w:rPr>
        <w:t>.</w:t>
      </w:r>
    </w:p>
    <w:p w14:paraId="41EC6C9F" w14:textId="77777777" w:rsidR="008038F6" w:rsidRPr="007511E0" w:rsidRDefault="008038F6" w:rsidP="00176956">
      <w:pPr>
        <w:ind w:right="3"/>
        <w:jc w:val="both"/>
        <w:rPr>
          <w:b/>
          <w:szCs w:val="22"/>
        </w:rPr>
      </w:pPr>
    </w:p>
    <w:p w14:paraId="260FE748" w14:textId="77777777" w:rsidR="008038F6" w:rsidRPr="007511E0" w:rsidRDefault="008038F6" w:rsidP="00176956">
      <w:pPr>
        <w:ind w:right="3"/>
        <w:jc w:val="both"/>
        <w:rPr>
          <w:b/>
          <w:szCs w:val="22"/>
        </w:rPr>
      </w:pPr>
      <w:r>
        <w:rPr>
          <w:b/>
          <w:szCs w:val="22"/>
        </w:rPr>
        <w:t xml:space="preserve">7.2 </w:t>
      </w:r>
      <w:r w:rsidRPr="007511E0">
        <w:rPr>
          <w:b/>
          <w:szCs w:val="22"/>
        </w:rPr>
        <w:t>Overall conclusions on Module</w:t>
      </w:r>
      <w:r>
        <w:rPr>
          <w:b/>
          <w:szCs w:val="22"/>
        </w:rPr>
        <w:t xml:space="preserve"> 7</w:t>
      </w:r>
    </w:p>
    <w:p w14:paraId="4B286EA0" w14:textId="161DD373" w:rsidR="008023DD" w:rsidRPr="008023DD" w:rsidRDefault="008023DD" w:rsidP="008023DD">
      <w:pPr>
        <w:pBdr>
          <w:top w:val="single" w:sz="4" w:space="1" w:color="auto"/>
          <w:left w:val="single" w:sz="4" w:space="4" w:color="auto"/>
          <w:bottom w:val="single" w:sz="4" w:space="1" w:color="auto"/>
          <w:right w:val="single" w:sz="4" w:space="4" w:color="auto"/>
        </w:pBdr>
        <w:ind w:right="3"/>
        <w:jc w:val="both"/>
        <w:rPr>
          <w:szCs w:val="22"/>
        </w:rPr>
      </w:pPr>
      <w:r w:rsidRPr="008023DD">
        <w:rPr>
          <w:rFonts w:cs="Arial"/>
          <w:szCs w:val="22"/>
        </w:rPr>
        <w:t>Not applicable</w:t>
      </w:r>
      <w:r w:rsidR="00991DCB">
        <w:rPr>
          <w:rFonts w:cs="Arial"/>
          <w:szCs w:val="22"/>
        </w:rPr>
        <w:t>.</w:t>
      </w:r>
    </w:p>
    <w:p w14:paraId="5EAD6552" w14:textId="77777777" w:rsidR="008038F6" w:rsidRDefault="008038F6" w:rsidP="00176956">
      <w:pPr>
        <w:jc w:val="both"/>
        <w:outlineLvl w:val="1"/>
        <w:rPr>
          <w:b/>
          <w:szCs w:val="22"/>
        </w:rPr>
      </w:pPr>
      <w:bookmarkStart w:id="3" w:name="_Toc260759930"/>
    </w:p>
    <w:p w14:paraId="3D14E6FC" w14:textId="77777777" w:rsidR="008038F6" w:rsidRDefault="008038F6" w:rsidP="00176956">
      <w:pPr>
        <w:jc w:val="both"/>
        <w:outlineLvl w:val="1"/>
        <w:rPr>
          <w:b/>
          <w:szCs w:val="22"/>
        </w:rPr>
      </w:pPr>
      <w:r>
        <w:rPr>
          <w:b/>
          <w:szCs w:val="22"/>
        </w:rPr>
        <w:t xml:space="preserve">8. </w:t>
      </w:r>
      <w:r w:rsidR="00817FE8">
        <w:rPr>
          <w:b/>
          <w:szCs w:val="22"/>
        </w:rPr>
        <w:t>ADDITIONAL</w:t>
      </w:r>
      <w:r w:rsidRPr="00273400">
        <w:rPr>
          <w:b/>
          <w:szCs w:val="22"/>
        </w:rPr>
        <w:t xml:space="preserve"> INFORMATION</w:t>
      </w:r>
      <w:bookmarkStart w:id="4" w:name="_Toc260759931"/>
      <w:bookmarkStart w:id="5" w:name="_Toc190087959"/>
      <w:bookmarkStart w:id="6" w:name="_Toc205018361"/>
      <w:bookmarkStart w:id="7" w:name="_Toc206231248"/>
      <w:bookmarkEnd w:id="3"/>
    </w:p>
    <w:p w14:paraId="65EE3679" w14:textId="77777777" w:rsidR="008038F6" w:rsidRDefault="008038F6" w:rsidP="00176956">
      <w:pPr>
        <w:jc w:val="both"/>
        <w:outlineLvl w:val="1"/>
        <w:rPr>
          <w:b/>
          <w:szCs w:val="22"/>
        </w:rPr>
      </w:pPr>
    </w:p>
    <w:bookmarkEnd w:id="4"/>
    <w:bookmarkEnd w:id="5"/>
    <w:bookmarkEnd w:id="6"/>
    <w:bookmarkEnd w:id="7"/>
    <w:p w14:paraId="7EACB37E" w14:textId="77777777" w:rsidR="008038F6" w:rsidRDefault="00817FE8" w:rsidP="00817FE8">
      <w:pPr>
        <w:spacing w:before="0"/>
        <w:jc w:val="both"/>
        <w:outlineLvl w:val="1"/>
        <w:rPr>
          <w:b/>
          <w:szCs w:val="22"/>
        </w:rPr>
      </w:pPr>
      <w:r>
        <w:rPr>
          <w:b/>
          <w:szCs w:val="22"/>
        </w:rPr>
        <w:t xml:space="preserve">8.1 </w:t>
      </w:r>
      <w:r w:rsidR="008038F6">
        <w:rPr>
          <w:b/>
          <w:szCs w:val="22"/>
        </w:rPr>
        <w:t>Study organisation and management</w:t>
      </w:r>
    </w:p>
    <w:p w14:paraId="0195D203" w14:textId="3EF0B943" w:rsidR="007E2725" w:rsidRPr="002648EB" w:rsidRDefault="00991DCB" w:rsidP="007E2725">
      <w:pPr>
        <w:pBdr>
          <w:top w:val="single" w:sz="4" w:space="1" w:color="auto"/>
          <w:left w:val="single" w:sz="4" w:space="4" w:color="auto"/>
          <w:bottom w:val="single" w:sz="4" w:space="1" w:color="auto"/>
          <w:right w:val="single" w:sz="4" w:space="4" w:color="auto"/>
        </w:pBdr>
        <w:jc w:val="both"/>
        <w:outlineLvl w:val="1"/>
        <w:rPr>
          <w:rFonts w:cs="Arial"/>
          <w:szCs w:val="22"/>
        </w:rPr>
      </w:pPr>
      <w:r>
        <w:rPr>
          <w:rFonts w:cs="Arial"/>
          <w:szCs w:val="22"/>
        </w:rPr>
        <w:lastRenderedPageBreak/>
        <w:t xml:space="preserve">The </w:t>
      </w:r>
      <w:r w:rsidR="007E2725" w:rsidRPr="002648EB">
        <w:rPr>
          <w:rFonts w:cs="Arial"/>
          <w:szCs w:val="22"/>
        </w:rPr>
        <w:t xml:space="preserve">study organisation and the different phases of the studies have been reported in </w:t>
      </w:r>
      <w:r w:rsidR="00BF1F92">
        <w:rPr>
          <w:rFonts w:cs="Arial"/>
          <w:szCs w:val="22"/>
        </w:rPr>
        <w:t>paragraph</w:t>
      </w:r>
      <w:r w:rsidR="00BA1D76">
        <w:rPr>
          <w:rFonts w:cs="Arial"/>
          <w:szCs w:val="22"/>
        </w:rPr>
        <w:t xml:space="preserve"> </w:t>
      </w:r>
      <w:r w:rsidR="007E2725" w:rsidRPr="002648EB">
        <w:rPr>
          <w:rFonts w:cs="Arial"/>
          <w:szCs w:val="22"/>
        </w:rPr>
        <w:t>3.1</w:t>
      </w:r>
      <w:r w:rsidR="00D4401F">
        <w:rPr>
          <w:rFonts w:cs="Arial"/>
          <w:szCs w:val="22"/>
        </w:rPr>
        <w:t xml:space="preserve"> by the </w:t>
      </w:r>
      <w:r w:rsidR="00F5755F">
        <w:rPr>
          <w:rFonts w:cs="Arial"/>
          <w:szCs w:val="22"/>
        </w:rPr>
        <w:t>Test Submitter</w:t>
      </w:r>
      <w:r w:rsidR="007E2725" w:rsidRPr="002648EB">
        <w:rPr>
          <w:rFonts w:cs="Arial"/>
          <w:szCs w:val="22"/>
        </w:rPr>
        <w:t xml:space="preserve">. The original composition of the steering committee roles is reported in Table 4. Although the </w:t>
      </w:r>
      <w:r w:rsidR="00F5755F">
        <w:rPr>
          <w:rFonts w:cs="Arial"/>
          <w:szCs w:val="22"/>
        </w:rPr>
        <w:t>Test Submitter</w:t>
      </w:r>
      <w:r>
        <w:rPr>
          <w:rFonts w:cs="Arial"/>
          <w:szCs w:val="22"/>
        </w:rPr>
        <w:t xml:space="preserve"> mentioned</w:t>
      </w:r>
      <w:r w:rsidR="007E2725" w:rsidRPr="002648EB">
        <w:rPr>
          <w:rFonts w:cs="Arial"/>
          <w:szCs w:val="22"/>
        </w:rPr>
        <w:t xml:space="preserve"> that involved institutions and roles changed during the study</w:t>
      </w:r>
      <w:r>
        <w:rPr>
          <w:rFonts w:cs="Arial"/>
          <w:szCs w:val="22"/>
        </w:rPr>
        <w:t>,</w:t>
      </w:r>
      <w:r w:rsidR="007E2725" w:rsidRPr="002648EB">
        <w:rPr>
          <w:rFonts w:cs="Arial"/>
          <w:szCs w:val="22"/>
        </w:rPr>
        <w:t xml:space="preserve"> an updated list was not provided. It should be noted that representatives from each laboratory were present in the steering committee.</w:t>
      </w:r>
    </w:p>
    <w:p w14:paraId="0C65EBB4" w14:textId="77777777" w:rsidR="008038F6" w:rsidRDefault="008038F6" w:rsidP="00176956">
      <w:pPr>
        <w:jc w:val="both"/>
        <w:outlineLvl w:val="1"/>
        <w:rPr>
          <w:i/>
          <w:szCs w:val="22"/>
        </w:rPr>
      </w:pPr>
    </w:p>
    <w:p w14:paraId="3D101BFA" w14:textId="77777777" w:rsidR="008038F6" w:rsidRDefault="00817FE8" w:rsidP="00817FE8">
      <w:pPr>
        <w:spacing w:before="0"/>
        <w:jc w:val="both"/>
        <w:outlineLvl w:val="1"/>
        <w:rPr>
          <w:b/>
          <w:szCs w:val="22"/>
        </w:rPr>
      </w:pPr>
      <w:r>
        <w:rPr>
          <w:b/>
          <w:szCs w:val="22"/>
        </w:rPr>
        <w:t>8.2 Collection of existing (historical) information</w:t>
      </w:r>
    </w:p>
    <w:p w14:paraId="59DFE289" w14:textId="44D385B5" w:rsidR="007E2725" w:rsidRPr="002648EB" w:rsidRDefault="007E2725" w:rsidP="007E2725">
      <w:pPr>
        <w:pBdr>
          <w:top w:val="single" w:sz="4" w:space="1" w:color="auto"/>
          <w:left w:val="single" w:sz="4" w:space="4" w:color="auto"/>
          <w:bottom w:val="single" w:sz="4" w:space="1" w:color="auto"/>
          <w:right w:val="single" w:sz="4" w:space="4" w:color="auto"/>
        </w:pBdr>
        <w:jc w:val="both"/>
        <w:outlineLvl w:val="1"/>
        <w:rPr>
          <w:rFonts w:cs="Arial"/>
          <w:szCs w:val="22"/>
        </w:rPr>
      </w:pPr>
      <w:r w:rsidRPr="002648EB">
        <w:rPr>
          <w:rFonts w:cs="Arial"/>
          <w:szCs w:val="22"/>
        </w:rPr>
        <w:t xml:space="preserve">Published work on the development of the RSMN </w:t>
      </w:r>
      <w:r w:rsidR="00BA1D76">
        <w:rPr>
          <w:rFonts w:cs="Arial"/>
          <w:szCs w:val="22"/>
        </w:rPr>
        <w:t xml:space="preserve">assay </w:t>
      </w:r>
      <w:r w:rsidRPr="002648EB">
        <w:rPr>
          <w:rFonts w:cs="Arial"/>
          <w:szCs w:val="22"/>
        </w:rPr>
        <w:t xml:space="preserve">undertaken prior to the validation </w:t>
      </w:r>
      <w:r w:rsidR="00BA1D76">
        <w:rPr>
          <w:rFonts w:cs="Arial"/>
          <w:szCs w:val="22"/>
        </w:rPr>
        <w:t xml:space="preserve">are well reported in </w:t>
      </w:r>
      <w:r w:rsidR="00BF1F92">
        <w:rPr>
          <w:rFonts w:cs="Arial"/>
          <w:szCs w:val="22"/>
        </w:rPr>
        <w:t>paragraph</w:t>
      </w:r>
      <w:r w:rsidR="00BA1D76">
        <w:rPr>
          <w:rFonts w:cs="Arial"/>
          <w:szCs w:val="22"/>
        </w:rPr>
        <w:t xml:space="preserve"> 3.2</w:t>
      </w:r>
      <w:r w:rsidRPr="002648EB">
        <w:rPr>
          <w:rFonts w:cs="Arial"/>
          <w:szCs w:val="22"/>
        </w:rPr>
        <w:t>.</w:t>
      </w:r>
    </w:p>
    <w:p w14:paraId="05D44289" w14:textId="77777777" w:rsidR="008038F6" w:rsidRDefault="008038F6" w:rsidP="00176956">
      <w:pPr>
        <w:jc w:val="both"/>
        <w:outlineLvl w:val="1"/>
        <w:rPr>
          <w:i/>
          <w:szCs w:val="22"/>
        </w:rPr>
      </w:pPr>
    </w:p>
    <w:p w14:paraId="3B09315A" w14:textId="77777777" w:rsidR="008038F6" w:rsidRDefault="00817FE8" w:rsidP="00817FE8">
      <w:pPr>
        <w:spacing w:before="0"/>
        <w:jc w:val="both"/>
        <w:outlineLvl w:val="1"/>
        <w:rPr>
          <w:b/>
          <w:szCs w:val="22"/>
        </w:rPr>
      </w:pPr>
      <w:r>
        <w:rPr>
          <w:b/>
          <w:szCs w:val="22"/>
        </w:rPr>
        <w:t xml:space="preserve">8.3 </w:t>
      </w:r>
      <w:r w:rsidR="008038F6">
        <w:rPr>
          <w:b/>
          <w:szCs w:val="22"/>
        </w:rPr>
        <w:t>Study conclusions</w:t>
      </w:r>
    </w:p>
    <w:p w14:paraId="009FDA26" w14:textId="1CBE2D7C" w:rsidR="003C1098" w:rsidRPr="008938AE" w:rsidRDefault="00913B50" w:rsidP="003C1098">
      <w:pPr>
        <w:pBdr>
          <w:top w:val="single" w:sz="4" w:space="1" w:color="auto"/>
          <w:left w:val="single" w:sz="4" w:space="4" w:color="auto"/>
          <w:bottom w:val="single" w:sz="4" w:space="1" w:color="auto"/>
          <w:right w:val="single" w:sz="4" w:space="4" w:color="auto"/>
        </w:pBdr>
        <w:jc w:val="both"/>
        <w:outlineLvl w:val="1"/>
        <w:rPr>
          <w:szCs w:val="22"/>
        </w:rPr>
      </w:pPr>
      <w:r>
        <w:rPr>
          <w:szCs w:val="22"/>
        </w:rPr>
        <w:t>The</w:t>
      </w:r>
      <w:r w:rsidR="00F5755F" w:rsidRPr="00F5755F">
        <w:rPr>
          <w:rFonts w:cs="Arial"/>
          <w:szCs w:val="22"/>
        </w:rPr>
        <w:t xml:space="preserve"> </w:t>
      </w:r>
      <w:r w:rsidR="00F5755F">
        <w:rPr>
          <w:rFonts w:cs="Arial"/>
          <w:szCs w:val="22"/>
        </w:rPr>
        <w:t>Test Submitter</w:t>
      </w:r>
      <w:r w:rsidR="003C1098" w:rsidRPr="008938AE">
        <w:rPr>
          <w:szCs w:val="22"/>
        </w:rPr>
        <w:t xml:space="preserve"> </w:t>
      </w:r>
      <w:r w:rsidR="008123D3">
        <w:rPr>
          <w:szCs w:val="22"/>
        </w:rPr>
        <w:t>has s</w:t>
      </w:r>
      <w:r w:rsidR="003C1098" w:rsidRPr="008938AE">
        <w:rPr>
          <w:szCs w:val="22"/>
        </w:rPr>
        <w:t xml:space="preserve">howed that the RSMN assay works with the MatTek Epi-200TM Skin model. </w:t>
      </w:r>
      <w:r w:rsidR="00EF5A8A">
        <w:rPr>
          <w:szCs w:val="22"/>
        </w:rPr>
        <w:t>According</w:t>
      </w:r>
      <w:r w:rsidR="00BF1F92" w:rsidRPr="008938AE">
        <w:rPr>
          <w:szCs w:val="22"/>
        </w:rPr>
        <w:t xml:space="preserve"> to the </w:t>
      </w:r>
      <w:r w:rsidR="00F5755F">
        <w:rPr>
          <w:rFonts w:cs="Arial"/>
          <w:szCs w:val="22"/>
        </w:rPr>
        <w:t>Test Submitter</w:t>
      </w:r>
      <w:r w:rsidR="00BF1F92" w:rsidRPr="008938AE">
        <w:rPr>
          <w:szCs w:val="22"/>
        </w:rPr>
        <w:t>, the</w:t>
      </w:r>
      <w:r w:rsidR="003C1098" w:rsidRPr="008938AE">
        <w:rPr>
          <w:szCs w:val="22"/>
        </w:rPr>
        <w:t xml:space="preserve"> assay can be transferred to other laboratories and is reproducible within and between laboratories</w:t>
      </w:r>
      <w:r w:rsidR="00991DCB">
        <w:rPr>
          <w:szCs w:val="22"/>
        </w:rPr>
        <w:t>.</w:t>
      </w:r>
      <w:r w:rsidR="003C1098" w:rsidRPr="008938AE">
        <w:rPr>
          <w:szCs w:val="22"/>
        </w:rPr>
        <w:t xml:space="preserve"> </w:t>
      </w:r>
      <w:r w:rsidR="00BF1F92" w:rsidRPr="008938AE">
        <w:rPr>
          <w:szCs w:val="22"/>
        </w:rPr>
        <w:t xml:space="preserve">Moreover, the </w:t>
      </w:r>
      <w:r w:rsidR="00F5755F">
        <w:rPr>
          <w:rFonts w:cs="Arial"/>
          <w:szCs w:val="22"/>
        </w:rPr>
        <w:t>Test Submitter</w:t>
      </w:r>
      <w:r>
        <w:rPr>
          <w:szCs w:val="22"/>
        </w:rPr>
        <w:t xml:space="preserve"> </w:t>
      </w:r>
      <w:r w:rsidR="008123D3">
        <w:rPr>
          <w:szCs w:val="22"/>
        </w:rPr>
        <w:t xml:space="preserve">has </w:t>
      </w:r>
      <w:r>
        <w:rPr>
          <w:szCs w:val="22"/>
        </w:rPr>
        <w:t>claimed</w:t>
      </w:r>
      <w:r w:rsidR="00BF1F92" w:rsidRPr="008938AE">
        <w:rPr>
          <w:szCs w:val="22"/>
        </w:rPr>
        <w:t xml:space="preserve"> that t</w:t>
      </w:r>
      <w:r w:rsidR="003C1098" w:rsidRPr="008938AE">
        <w:rPr>
          <w:szCs w:val="22"/>
        </w:rPr>
        <w:t>he method has high predictive capacity and it could be used in combination with the RS Comet assay.</w:t>
      </w:r>
    </w:p>
    <w:p w14:paraId="5A613349" w14:textId="77777777" w:rsidR="008038F6" w:rsidRDefault="008038F6" w:rsidP="00176956">
      <w:pPr>
        <w:jc w:val="both"/>
        <w:outlineLvl w:val="1"/>
        <w:rPr>
          <w:i/>
          <w:szCs w:val="22"/>
        </w:rPr>
      </w:pPr>
    </w:p>
    <w:p w14:paraId="5DF960F1" w14:textId="77777777" w:rsidR="008038F6" w:rsidRDefault="00817FE8" w:rsidP="00817FE8">
      <w:pPr>
        <w:spacing w:before="0"/>
        <w:jc w:val="both"/>
        <w:outlineLvl w:val="1"/>
        <w:rPr>
          <w:b/>
          <w:szCs w:val="22"/>
        </w:rPr>
      </w:pPr>
      <w:r>
        <w:rPr>
          <w:b/>
          <w:szCs w:val="22"/>
        </w:rPr>
        <w:t xml:space="preserve">8.4 </w:t>
      </w:r>
      <w:r w:rsidR="008038F6">
        <w:rPr>
          <w:b/>
          <w:szCs w:val="22"/>
        </w:rPr>
        <w:t>Study recommendations</w:t>
      </w:r>
    </w:p>
    <w:p w14:paraId="623708B2" w14:textId="41505B41" w:rsidR="00061D78" w:rsidRPr="002648EB" w:rsidRDefault="00061D78" w:rsidP="00061D78">
      <w:pPr>
        <w:pBdr>
          <w:top w:val="single" w:sz="4" w:space="1" w:color="auto"/>
          <w:left w:val="single" w:sz="4" w:space="4" w:color="auto"/>
          <w:bottom w:val="single" w:sz="4" w:space="1" w:color="auto"/>
          <w:right w:val="single" w:sz="4" w:space="4" w:color="auto"/>
        </w:pBdr>
        <w:jc w:val="both"/>
        <w:outlineLvl w:val="1"/>
        <w:rPr>
          <w:rFonts w:cs="Arial"/>
          <w:szCs w:val="22"/>
        </w:rPr>
      </w:pPr>
      <w:r>
        <w:rPr>
          <w:rFonts w:cs="Arial"/>
          <w:szCs w:val="22"/>
        </w:rPr>
        <w:t xml:space="preserve">The </w:t>
      </w:r>
      <w:r w:rsidR="00F5755F">
        <w:rPr>
          <w:rFonts w:cs="Arial"/>
          <w:szCs w:val="22"/>
        </w:rPr>
        <w:t xml:space="preserve">Test </w:t>
      </w:r>
      <w:bookmarkStart w:id="8" w:name="_GoBack"/>
      <w:r w:rsidR="00F5755F">
        <w:rPr>
          <w:rFonts w:cs="Arial"/>
          <w:szCs w:val="22"/>
        </w:rPr>
        <w:t>Submitter</w:t>
      </w:r>
      <w:bookmarkEnd w:id="8"/>
      <w:r>
        <w:rPr>
          <w:rFonts w:cs="Arial"/>
          <w:szCs w:val="22"/>
        </w:rPr>
        <w:t xml:space="preserve"> has not</w:t>
      </w:r>
      <w:r w:rsidRPr="002648EB">
        <w:rPr>
          <w:rFonts w:cs="Arial"/>
          <w:szCs w:val="22"/>
        </w:rPr>
        <w:t xml:space="preserve"> provided</w:t>
      </w:r>
      <w:r w:rsidRPr="00061D78">
        <w:rPr>
          <w:rFonts w:cs="Arial"/>
          <w:szCs w:val="22"/>
        </w:rPr>
        <w:t xml:space="preserve"> </w:t>
      </w:r>
      <w:r>
        <w:rPr>
          <w:rFonts w:cs="Arial"/>
          <w:szCs w:val="22"/>
        </w:rPr>
        <w:t xml:space="preserve">any </w:t>
      </w:r>
      <w:r w:rsidRPr="002648EB">
        <w:rPr>
          <w:rFonts w:cs="Arial"/>
          <w:szCs w:val="22"/>
        </w:rPr>
        <w:t xml:space="preserve">real recommendations, rather an encouragement to use the method for hazard assessment in order to extend the applicability domain, as already recommended in the SCCS note of guidance. </w:t>
      </w:r>
    </w:p>
    <w:p w14:paraId="0070DC94" w14:textId="77777777" w:rsidR="008038F6" w:rsidRDefault="008038F6" w:rsidP="00176956">
      <w:pPr>
        <w:jc w:val="both"/>
        <w:outlineLvl w:val="1"/>
        <w:rPr>
          <w:i/>
          <w:szCs w:val="22"/>
        </w:rPr>
      </w:pPr>
    </w:p>
    <w:p w14:paraId="04CABB90" w14:textId="77777777" w:rsidR="008038F6" w:rsidRDefault="008038F6" w:rsidP="00176956">
      <w:pPr>
        <w:jc w:val="both"/>
        <w:outlineLvl w:val="1"/>
        <w:rPr>
          <w:b/>
          <w:szCs w:val="22"/>
        </w:rPr>
      </w:pPr>
      <w:r>
        <w:rPr>
          <w:b/>
          <w:szCs w:val="22"/>
        </w:rPr>
        <w:t>9. OTHER</w:t>
      </w:r>
    </w:p>
    <w:p w14:paraId="07C27467" w14:textId="77777777" w:rsidR="00D36040" w:rsidRDefault="00D36040" w:rsidP="00061D78">
      <w:pPr>
        <w:pBdr>
          <w:top w:val="single" w:sz="4" w:space="1" w:color="auto"/>
          <w:left w:val="single" w:sz="4" w:space="1" w:color="auto"/>
          <w:bottom w:val="single" w:sz="4" w:space="1" w:color="auto"/>
          <w:right w:val="single" w:sz="4" w:space="1" w:color="auto"/>
        </w:pBdr>
        <w:jc w:val="both"/>
        <w:outlineLvl w:val="1"/>
        <w:rPr>
          <w:szCs w:val="22"/>
        </w:rPr>
      </w:pPr>
      <w:r>
        <w:rPr>
          <w:rFonts w:cs="Arial"/>
          <w:szCs w:val="22"/>
        </w:rPr>
        <w:t xml:space="preserve">The </w:t>
      </w:r>
      <w:r>
        <w:rPr>
          <w:szCs w:val="22"/>
        </w:rPr>
        <w:t xml:space="preserve">RSMN </w:t>
      </w:r>
      <w:r w:rsidRPr="0008751D">
        <w:rPr>
          <w:szCs w:val="22"/>
        </w:rPr>
        <w:t xml:space="preserve">assay has </w:t>
      </w:r>
      <w:r>
        <w:rPr>
          <w:szCs w:val="22"/>
        </w:rPr>
        <w:t xml:space="preserve">already </w:t>
      </w:r>
      <w:r w:rsidRPr="0008751D">
        <w:rPr>
          <w:szCs w:val="22"/>
        </w:rPr>
        <w:t xml:space="preserve">been </w:t>
      </w:r>
      <w:r>
        <w:rPr>
          <w:szCs w:val="22"/>
        </w:rPr>
        <w:t>included</w:t>
      </w:r>
      <w:r w:rsidRPr="0008751D">
        <w:rPr>
          <w:szCs w:val="22"/>
        </w:rPr>
        <w:t xml:space="preserve"> into the OECD</w:t>
      </w:r>
      <w:r w:rsidRPr="0008751D">
        <w:rPr>
          <w:rFonts w:hint="eastAsia"/>
          <w:szCs w:val="22"/>
        </w:rPr>
        <w:t>’</w:t>
      </w:r>
      <w:r w:rsidRPr="0008751D">
        <w:rPr>
          <w:szCs w:val="22"/>
        </w:rPr>
        <w:t xml:space="preserve">s test guideline </w:t>
      </w:r>
      <w:r>
        <w:rPr>
          <w:szCs w:val="22"/>
        </w:rPr>
        <w:t>work</w:t>
      </w:r>
      <w:r w:rsidRPr="0008751D">
        <w:rPr>
          <w:szCs w:val="22"/>
        </w:rPr>
        <w:t xml:space="preserve"> program. </w:t>
      </w:r>
    </w:p>
    <w:p w14:paraId="4691D659" w14:textId="7F9CE428" w:rsidR="00061D78" w:rsidRPr="002648EB" w:rsidRDefault="00061D78" w:rsidP="00061D78">
      <w:pPr>
        <w:pBdr>
          <w:top w:val="single" w:sz="4" w:space="1" w:color="auto"/>
          <w:left w:val="single" w:sz="4" w:space="1" w:color="auto"/>
          <w:bottom w:val="single" w:sz="4" w:space="1" w:color="auto"/>
          <w:right w:val="single" w:sz="4" w:space="1" w:color="auto"/>
        </w:pBdr>
        <w:jc w:val="both"/>
        <w:outlineLvl w:val="1"/>
        <w:rPr>
          <w:rFonts w:cs="Arial"/>
          <w:i/>
          <w:szCs w:val="22"/>
        </w:rPr>
      </w:pPr>
      <w:r w:rsidRPr="002648EB">
        <w:rPr>
          <w:rFonts w:cs="Arial"/>
          <w:szCs w:val="22"/>
        </w:rPr>
        <w:t>An EURL ECVAM representative was part of the validation study steering committee only in the initial phase of the study, but not during phase 2.</w:t>
      </w:r>
      <w:r w:rsidRPr="002648EB">
        <w:rPr>
          <w:rFonts w:cs="Arial"/>
          <w:i/>
          <w:szCs w:val="22"/>
        </w:rPr>
        <w:t xml:space="preserve"> </w:t>
      </w:r>
      <w:r w:rsidRPr="002648EB">
        <w:rPr>
          <w:rFonts w:cs="Arial"/>
          <w:szCs w:val="22"/>
        </w:rPr>
        <w:t>However, an expert from EURL ECVAM participated in the select</w:t>
      </w:r>
      <w:r w:rsidR="008938AE">
        <w:rPr>
          <w:rFonts w:cs="Arial"/>
          <w:szCs w:val="22"/>
        </w:rPr>
        <w:t>ion of chemicals to be used in P</w:t>
      </w:r>
      <w:r w:rsidRPr="002648EB">
        <w:rPr>
          <w:rFonts w:cs="Arial"/>
          <w:szCs w:val="22"/>
        </w:rPr>
        <w:t>hase 2.</w:t>
      </w:r>
    </w:p>
    <w:p w14:paraId="354B22AA" w14:textId="77777777" w:rsidR="008038F6" w:rsidRDefault="008038F6" w:rsidP="00176956">
      <w:pPr>
        <w:jc w:val="both"/>
        <w:outlineLvl w:val="1"/>
        <w:rPr>
          <w:b/>
          <w:szCs w:val="22"/>
        </w:rPr>
      </w:pPr>
    </w:p>
    <w:p w14:paraId="1E7D9A0B" w14:textId="77777777" w:rsidR="008038F6" w:rsidRDefault="008038F6" w:rsidP="00176956">
      <w:pPr>
        <w:jc w:val="both"/>
        <w:outlineLvl w:val="1"/>
        <w:rPr>
          <w:b/>
          <w:szCs w:val="22"/>
        </w:rPr>
      </w:pPr>
      <w:r>
        <w:rPr>
          <w:b/>
          <w:szCs w:val="22"/>
        </w:rPr>
        <w:t>10. OVERALL CONCLUSIONS ON THE OUTCOME OF THE ASSESSMENT</w:t>
      </w:r>
    </w:p>
    <w:p w14:paraId="7247ADDC" w14:textId="7E1BE5E2" w:rsidR="007837FB" w:rsidRDefault="007837FB" w:rsidP="007837FB">
      <w:pPr>
        <w:pBdr>
          <w:top w:val="single" w:sz="4" w:space="1" w:color="auto"/>
          <w:left w:val="single" w:sz="4" w:space="4" w:color="auto"/>
          <w:bottom w:val="single" w:sz="4" w:space="1" w:color="auto"/>
          <w:right w:val="single" w:sz="4" w:space="4" w:color="auto"/>
        </w:pBdr>
        <w:jc w:val="both"/>
        <w:rPr>
          <w:szCs w:val="22"/>
        </w:rPr>
      </w:pPr>
      <w:r>
        <w:rPr>
          <w:szCs w:val="22"/>
        </w:rPr>
        <w:t>Following the evaluation of the RSMN assay Submission, EURL ECVAM concludes that Module 1, 2, 3, 4, 5 and 6 of the EURL ECVAM modular approach appear complete.</w:t>
      </w:r>
      <w:r>
        <w:rPr>
          <w:szCs w:val="22"/>
          <w:highlight w:val="green"/>
        </w:rPr>
        <w:t xml:space="preserve"> </w:t>
      </w:r>
    </w:p>
    <w:p w14:paraId="42E5B52D" w14:textId="40B099C7" w:rsidR="007837FB" w:rsidRDefault="007837FB" w:rsidP="007837FB">
      <w:pPr>
        <w:pBdr>
          <w:top w:val="single" w:sz="4" w:space="1" w:color="auto"/>
          <w:left w:val="single" w:sz="4" w:space="4" w:color="auto"/>
          <w:bottom w:val="single" w:sz="4" w:space="1" w:color="auto"/>
          <w:right w:val="single" w:sz="4" w:space="4" w:color="auto"/>
        </w:pBdr>
        <w:jc w:val="both"/>
        <w:rPr>
          <w:szCs w:val="22"/>
        </w:rPr>
      </w:pPr>
      <w:r>
        <w:rPr>
          <w:szCs w:val="22"/>
        </w:rPr>
        <w:t>The supplementary application of expert</w:t>
      </w:r>
      <w:r w:rsidR="004200F9">
        <w:rPr>
          <w:szCs w:val="22"/>
        </w:rPr>
        <w:t xml:space="preserve"> judgment for some test results</w:t>
      </w:r>
      <w:r>
        <w:rPr>
          <w:szCs w:val="22"/>
        </w:rPr>
        <w:t xml:space="preserve"> highlights the need of highly curated analysis for the correct interpretation of results. As such, EURL ECVAM identifies the reliance on specific expertise as a critical factor for the qualification of tests and correct interpretation of test results.</w:t>
      </w:r>
    </w:p>
    <w:p w14:paraId="49D75A46" w14:textId="08692B20" w:rsidR="007837FB" w:rsidRDefault="007837FB" w:rsidP="007837FB">
      <w:pPr>
        <w:pBdr>
          <w:top w:val="single" w:sz="4" w:space="1" w:color="auto"/>
          <w:left w:val="single" w:sz="4" w:space="4" w:color="auto"/>
          <w:bottom w:val="single" w:sz="4" w:space="1" w:color="auto"/>
          <w:right w:val="single" w:sz="4" w:space="4" w:color="auto"/>
        </w:pBdr>
        <w:jc w:val="both"/>
        <w:rPr>
          <w:szCs w:val="22"/>
        </w:rPr>
      </w:pPr>
      <w:r>
        <w:rPr>
          <w:szCs w:val="22"/>
        </w:rPr>
        <w:t xml:space="preserve">EURL ECVAM </w:t>
      </w:r>
      <w:r w:rsidR="0062160D">
        <w:rPr>
          <w:szCs w:val="22"/>
        </w:rPr>
        <w:t>considers</w:t>
      </w:r>
      <w:r>
        <w:rPr>
          <w:szCs w:val="22"/>
        </w:rPr>
        <w:t xml:space="preserve"> the test method </w:t>
      </w:r>
      <w:r w:rsidR="0062160D">
        <w:rPr>
          <w:szCs w:val="22"/>
        </w:rPr>
        <w:t xml:space="preserve">submission suitable to progress to </w:t>
      </w:r>
      <w:r>
        <w:rPr>
          <w:szCs w:val="22"/>
        </w:rPr>
        <w:t>peer review.</w:t>
      </w:r>
    </w:p>
    <w:p w14:paraId="028E62AC" w14:textId="77777777" w:rsidR="008038F6" w:rsidRDefault="008038F6" w:rsidP="00176956">
      <w:pPr>
        <w:jc w:val="both"/>
        <w:outlineLvl w:val="1"/>
        <w:rPr>
          <w:b/>
          <w:szCs w:val="22"/>
        </w:rPr>
      </w:pPr>
    </w:p>
    <w:p w14:paraId="2B6C044D" w14:textId="77777777" w:rsidR="008038F6" w:rsidRDefault="008038F6" w:rsidP="00176956">
      <w:pPr>
        <w:jc w:val="both"/>
        <w:outlineLvl w:val="1"/>
        <w:rPr>
          <w:b/>
          <w:szCs w:val="22"/>
        </w:rPr>
      </w:pPr>
      <w:r>
        <w:rPr>
          <w:b/>
          <w:szCs w:val="22"/>
        </w:rPr>
        <w:t>11. CLARIFICATIONS/ADDITIONAL INFORMATION TO BE REQUESTED TO THE TEST SUBMITTER</w:t>
      </w:r>
    </w:p>
    <w:p w14:paraId="390AD585" w14:textId="29D4783F" w:rsidR="006345E2" w:rsidRPr="00913B50" w:rsidRDefault="00913B50" w:rsidP="00176956">
      <w:pPr>
        <w:pBdr>
          <w:top w:val="single" w:sz="4" w:space="1" w:color="auto"/>
          <w:left w:val="single" w:sz="4" w:space="4" w:color="auto"/>
          <w:bottom w:val="single" w:sz="4" w:space="1" w:color="auto"/>
          <w:right w:val="single" w:sz="4" w:space="4" w:color="auto"/>
        </w:pBdr>
        <w:jc w:val="both"/>
        <w:outlineLvl w:val="1"/>
        <w:rPr>
          <w:color w:val="000000" w:themeColor="text1"/>
          <w:szCs w:val="22"/>
        </w:rPr>
      </w:pPr>
      <w:r>
        <w:rPr>
          <w:szCs w:val="22"/>
        </w:rPr>
        <w:t xml:space="preserve">The </w:t>
      </w:r>
      <w:r w:rsidRPr="0036481C">
        <w:rPr>
          <w:szCs w:val="22"/>
        </w:rPr>
        <w:t>Test Submitter</w:t>
      </w:r>
      <w:r w:rsidRPr="009724F8">
        <w:rPr>
          <w:color w:val="000000" w:themeColor="text1"/>
          <w:szCs w:val="22"/>
        </w:rPr>
        <w:t xml:space="preserve"> </w:t>
      </w:r>
      <w:r>
        <w:rPr>
          <w:color w:val="000000" w:themeColor="text1"/>
          <w:szCs w:val="22"/>
        </w:rPr>
        <w:t>has provided additional information and clarifications by mail (see the following word file in Email_Exchange_withSubmitter: RSMN RS Comet TST clarifications).</w:t>
      </w:r>
    </w:p>
    <w:p w14:paraId="6CC8CD52" w14:textId="77777777" w:rsidR="00853174" w:rsidRPr="00853174" w:rsidRDefault="008038F6" w:rsidP="00853174">
      <w:pPr>
        <w:jc w:val="both"/>
        <w:outlineLvl w:val="1"/>
        <w:rPr>
          <w:rFonts w:cs="Arial"/>
          <w:b/>
          <w:szCs w:val="22"/>
          <w:u w:val="single"/>
        </w:rPr>
      </w:pPr>
      <w:r>
        <w:rPr>
          <w:i/>
          <w:szCs w:val="22"/>
        </w:rPr>
        <w:br w:type="page"/>
      </w:r>
      <w:r w:rsidR="00853174" w:rsidRPr="00853174">
        <w:rPr>
          <w:rFonts w:cs="Arial"/>
          <w:b/>
          <w:szCs w:val="22"/>
          <w:u w:val="single"/>
        </w:rPr>
        <w:lastRenderedPageBreak/>
        <w:t>ANNEX: FOR INTERNAL USE ONLY</w:t>
      </w:r>
      <w:r w:rsidR="00941A5C">
        <w:rPr>
          <w:rFonts w:cs="Arial"/>
          <w:b/>
          <w:szCs w:val="22"/>
          <w:u w:val="single"/>
        </w:rPr>
        <w:t xml:space="preserve"> (TO BE DELETED IN THE FINAL ASSESSMENT REPORT)</w:t>
      </w:r>
    </w:p>
    <w:p w14:paraId="6E79BCD8" w14:textId="77777777" w:rsidR="00853174" w:rsidRPr="00853174" w:rsidRDefault="00853174" w:rsidP="00853174">
      <w:pPr>
        <w:spacing w:before="240" w:after="240" w:line="360" w:lineRule="auto"/>
        <w:jc w:val="both"/>
        <w:outlineLvl w:val="1"/>
        <w:rPr>
          <w:rFonts w:cs="Arial"/>
          <w:szCs w:val="22"/>
        </w:rPr>
      </w:pPr>
      <w:r w:rsidRPr="00853174">
        <w:rPr>
          <w:rFonts w:cs="Arial"/>
          <w:szCs w:val="22"/>
        </w:rPr>
        <w:t xml:space="preserve">Please complete the following table by ticking for each module </w:t>
      </w:r>
      <w:r>
        <w:rPr>
          <w:rFonts w:cs="Arial"/>
          <w:szCs w:val="22"/>
        </w:rPr>
        <w:t xml:space="preserve">(M) </w:t>
      </w:r>
      <w:r w:rsidRPr="00853174">
        <w:rPr>
          <w:rFonts w:cs="Arial"/>
          <w:szCs w:val="22"/>
        </w:rPr>
        <w:t>the appropriate box (where feasible) with regard to the completeness and quality of the information provided in the Test Submission.</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1417"/>
        <w:gridCol w:w="1418"/>
        <w:gridCol w:w="1519"/>
        <w:gridCol w:w="1458"/>
      </w:tblGrid>
      <w:tr w:rsidR="00853174" w:rsidRPr="00EF5FB4" w14:paraId="7C7D00A8" w14:textId="77777777" w:rsidTr="00FA1A6A">
        <w:tc>
          <w:tcPr>
            <w:tcW w:w="3119" w:type="dxa"/>
          </w:tcPr>
          <w:p w14:paraId="4F4EA6A0" w14:textId="77777777" w:rsidR="00853174" w:rsidRPr="00853174" w:rsidRDefault="00853174" w:rsidP="00853174">
            <w:pPr>
              <w:outlineLvl w:val="1"/>
              <w:rPr>
                <w:rFonts w:cs="Arial"/>
                <w:b/>
                <w:szCs w:val="22"/>
              </w:rPr>
            </w:pPr>
            <w:r w:rsidRPr="00853174">
              <w:rPr>
                <w:rFonts w:cs="Arial"/>
                <w:b/>
                <w:szCs w:val="22"/>
              </w:rPr>
              <w:t>Completeness and quality of the information provided for each module</w:t>
            </w:r>
          </w:p>
        </w:tc>
        <w:tc>
          <w:tcPr>
            <w:tcW w:w="1417" w:type="dxa"/>
          </w:tcPr>
          <w:p w14:paraId="175B2138" w14:textId="77777777" w:rsidR="00853174" w:rsidRPr="00853174" w:rsidRDefault="00853174" w:rsidP="00853174">
            <w:pPr>
              <w:jc w:val="both"/>
              <w:outlineLvl w:val="1"/>
              <w:rPr>
                <w:rFonts w:cs="Arial"/>
                <w:b/>
                <w:szCs w:val="22"/>
              </w:rPr>
            </w:pPr>
            <w:r w:rsidRPr="00853174">
              <w:rPr>
                <w:rFonts w:cs="Arial"/>
                <w:b/>
                <w:szCs w:val="22"/>
              </w:rPr>
              <w:t>Insufficient</w:t>
            </w:r>
          </w:p>
        </w:tc>
        <w:tc>
          <w:tcPr>
            <w:tcW w:w="1418" w:type="dxa"/>
          </w:tcPr>
          <w:p w14:paraId="1E1613B3" w14:textId="77777777" w:rsidR="00853174" w:rsidRPr="00853174" w:rsidRDefault="00853174" w:rsidP="00853174">
            <w:pPr>
              <w:jc w:val="both"/>
              <w:outlineLvl w:val="1"/>
              <w:rPr>
                <w:rFonts w:cs="Arial"/>
                <w:b/>
                <w:szCs w:val="22"/>
              </w:rPr>
            </w:pPr>
            <w:r w:rsidRPr="00853174">
              <w:rPr>
                <w:rFonts w:cs="Arial"/>
                <w:b/>
                <w:szCs w:val="22"/>
              </w:rPr>
              <w:t xml:space="preserve">Requires substantial additional work </w:t>
            </w:r>
          </w:p>
        </w:tc>
        <w:tc>
          <w:tcPr>
            <w:tcW w:w="1519" w:type="dxa"/>
          </w:tcPr>
          <w:p w14:paraId="4FFE6FE6" w14:textId="77777777" w:rsidR="00853174" w:rsidRPr="00853174" w:rsidRDefault="00853174" w:rsidP="00853174">
            <w:pPr>
              <w:jc w:val="both"/>
              <w:outlineLvl w:val="1"/>
              <w:rPr>
                <w:rFonts w:cs="Arial"/>
                <w:b/>
                <w:szCs w:val="22"/>
              </w:rPr>
            </w:pPr>
            <w:r w:rsidRPr="00853174">
              <w:rPr>
                <w:rFonts w:cs="Arial"/>
                <w:b/>
                <w:szCs w:val="22"/>
              </w:rPr>
              <w:t xml:space="preserve">Requires minor additional work </w:t>
            </w:r>
          </w:p>
        </w:tc>
        <w:tc>
          <w:tcPr>
            <w:tcW w:w="1458" w:type="dxa"/>
          </w:tcPr>
          <w:p w14:paraId="6F17BB65" w14:textId="77777777" w:rsidR="00853174" w:rsidRPr="00853174" w:rsidRDefault="00853174" w:rsidP="00853174">
            <w:pPr>
              <w:jc w:val="both"/>
              <w:outlineLvl w:val="1"/>
              <w:rPr>
                <w:rFonts w:cs="Arial"/>
                <w:b/>
                <w:szCs w:val="22"/>
              </w:rPr>
            </w:pPr>
            <w:r w:rsidRPr="00853174">
              <w:rPr>
                <w:rFonts w:cs="Arial"/>
                <w:b/>
                <w:szCs w:val="22"/>
              </w:rPr>
              <w:t>Complete</w:t>
            </w:r>
          </w:p>
        </w:tc>
      </w:tr>
      <w:tr w:rsidR="00932EF1" w:rsidRPr="00EF5FB4" w14:paraId="74F22E3A" w14:textId="77777777" w:rsidTr="00BF4652">
        <w:tc>
          <w:tcPr>
            <w:tcW w:w="3119" w:type="dxa"/>
            <w:vAlign w:val="center"/>
          </w:tcPr>
          <w:p w14:paraId="628F2DAE" w14:textId="77777777" w:rsidR="00932EF1" w:rsidRPr="00853174" w:rsidRDefault="00932EF1" w:rsidP="00932EF1">
            <w:pPr>
              <w:spacing w:after="120"/>
              <w:outlineLvl w:val="1"/>
              <w:rPr>
                <w:rFonts w:cs="Arial"/>
                <w:szCs w:val="22"/>
              </w:rPr>
            </w:pPr>
            <w:r w:rsidRPr="00853174">
              <w:rPr>
                <w:rFonts w:cs="Arial"/>
                <w:szCs w:val="22"/>
              </w:rPr>
              <w:t>M1 - Test Definition</w:t>
            </w:r>
          </w:p>
        </w:tc>
        <w:sdt>
          <w:sdtPr>
            <w:rPr>
              <w:rFonts w:cs="Arial"/>
              <w:szCs w:val="22"/>
            </w:rPr>
            <w:id w:val="-1970431186"/>
            <w14:checkbox>
              <w14:checked w14:val="0"/>
              <w14:checkedState w14:val="2612" w14:font="MS Gothic"/>
              <w14:uncheckedState w14:val="2610" w14:font="MS Gothic"/>
            </w14:checkbox>
          </w:sdtPr>
          <w:sdtEndPr/>
          <w:sdtContent>
            <w:tc>
              <w:tcPr>
                <w:tcW w:w="1417" w:type="dxa"/>
              </w:tcPr>
              <w:p w14:paraId="29D867C5"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656838767"/>
            <w14:checkbox>
              <w14:checked w14:val="0"/>
              <w14:checkedState w14:val="2612" w14:font="MS Gothic"/>
              <w14:uncheckedState w14:val="2610" w14:font="MS Gothic"/>
            </w14:checkbox>
          </w:sdtPr>
          <w:sdtEndPr/>
          <w:sdtContent>
            <w:tc>
              <w:tcPr>
                <w:tcW w:w="1418" w:type="dxa"/>
              </w:tcPr>
              <w:p w14:paraId="6E11B832"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1121036711"/>
            <w14:checkbox>
              <w14:checked w14:val="0"/>
              <w14:checkedState w14:val="2612" w14:font="MS Gothic"/>
              <w14:uncheckedState w14:val="2610" w14:font="MS Gothic"/>
            </w14:checkbox>
          </w:sdtPr>
          <w:sdtEndPr/>
          <w:sdtContent>
            <w:tc>
              <w:tcPr>
                <w:tcW w:w="1519" w:type="dxa"/>
              </w:tcPr>
              <w:p w14:paraId="38D448E1"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1051110247"/>
            <w14:checkbox>
              <w14:checked w14:val="1"/>
              <w14:checkedState w14:val="2612" w14:font="MS Gothic"/>
              <w14:uncheckedState w14:val="2610" w14:font="MS Gothic"/>
            </w14:checkbox>
          </w:sdtPr>
          <w:sdtEndPr/>
          <w:sdtContent>
            <w:tc>
              <w:tcPr>
                <w:tcW w:w="1458" w:type="dxa"/>
              </w:tcPr>
              <w:p w14:paraId="42FCBD2D" w14:textId="7A0844FF" w:rsidR="00932EF1" w:rsidRPr="00853174" w:rsidRDefault="00B348AF" w:rsidP="00932EF1">
                <w:pPr>
                  <w:jc w:val="center"/>
                  <w:outlineLvl w:val="1"/>
                  <w:rPr>
                    <w:rFonts w:cs="Arial"/>
                    <w:b/>
                    <w:szCs w:val="22"/>
                  </w:rPr>
                </w:pPr>
                <w:r>
                  <w:rPr>
                    <w:rFonts w:ascii="MS Gothic" w:eastAsia="MS Gothic" w:hAnsi="MS Gothic" w:cs="Arial" w:hint="eastAsia"/>
                    <w:szCs w:val="22"/>
                  </w:rPr>
                  <w:t>☒</w:t>
                </w:r>
              </w:p>
            </w:tc>
          </w:sdtContent>
        </w:sdt>
      </w:tr>
      <w:tr w:rsidR="00932EF1" w:rsidRPr="00EF5FB4" w14:paraId="6D815639" w14:textId="77777777" w:rsidTr="00FB4270">
        <w:tc>
          <w:tcPr>
            <w:tcW w:w="3119" w:type="dxa"/>
            <w:vAlign w:val="center"/>
          </w:tcPr>
          <w:p w14:paraId="09E460D5" w14:textId="77777777" w:rsidR="00932EF1" w:rsidRPr="00853174" w:rsidRDefault="00932EF1" w:rsidP="00932EF1">
            <w:pPr>
              <w:spacing w:after="120"/>
              <w:outlineLvl w:val="1"/>
              <w:rPr>
                <w:rFonts w:cs="Arial"/>
                <w:szCs w:val="22"/>
              </w:rPr>
            </w:pPr>
            <w:r w:rsidRPr="00853174">
              <w:rPr>
                <w:rFonts w:cs="Arial"/>
                <w:szCs w:val="22"/>
              </w:rPr>
              <w:t xml:space="preserve">M2 - </w:t>
            </w:r>
            <w:r>
              <w:rPr>
                <w:rFonts w:cs="Arial"/>
                <w:szCs w:val="22"/>
              </w:rPr>
              <w:t>Within-Laboratory Reproducibility</w:t>
            </w:r>
          </w:p>
        </w:tc>
        <w:sdt>
          <w:sdtPr>
            <w:rPr>
              <w:rFonts w:cs="Arial"/>
              <w:szCs w:val="22"/>
            </w:rPr>
            <w:id w:val="-20324929"/>
            <w14:checkbox>
              <w14:checked w14:val="0"/>
              <w14:checkedState w14:val="2612" w14:font="MS Gothic"/>
              <w14:uncheckedState w14:val="2610" w14:font="MS Gothic"/>
            </w14:checkbox>
          </w:sdtPr>
          <w:sdtEndPr/>
          <w:sdtContent>
            <w:tc>
              <w:tcPr>
                <w:tcW w:w="1417" w:type="dxa"/>
              </w:tcPr>
              <w:p w14:paraId="1963854D"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1384604556"/>
            <w14:checkbox>
              <w14:checked w14:val="0"/>
              <w14:checkedState w14:val="2612" w14:font="MS Gothic"/>
              <w14:uncheckedState w14:val="2610" w14:font="MS Gothic"/>
            </w14:checkbox>
          </w:sdtPr>
          <w:sdtEndPr/>
          <w:sdtContent>
            <w:tc>
              <w:tcPr>
                <w:tcW w:w="1418" w:type="dxa"/>
              </w:tcPr>
              <w:p w14:paraId="19FD9E1C"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611524294"/>
            <w14:checkbox>
              <w14:checked w14:val="0"/>
              <w14:checkedState w14:val="2612" w14:font="MS Gothic"/>
              <w14:uncheckedState w14:val="2610" w14:font="MS Gothic"/>
            </w14:checkbox>
          </w:sdtPr>
          <w:sdtEndPr/>
          <w:sdtContent>
            <w:tc>
              <w:tcPr>
                <w:tcW w:w="1519" w:type="dxa"/>
              </w:tcPr>
              <w:p w14:paraId="31A7686C"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1396735251"/>
            <w14:checkbox>
              <w14:checked w14:val="1"/>
              <w14:checkedState w14:val="2612" w14:font="MS Gothic"/>
              <w14:uncheckedState w14:val="2610" w14:font="MS Gothic"/>
            </w14:checkbox>
          </w:sdtPr>
          <w:sdtEndPr/>
          <w:sdtContent>
            <w:tc>
              <w:tcPr>
                <w:tcW w:w="1458" w:type="dxa"/>
              </w:tcPr>
              <w:p w14:paraId="7E5DBF50" w14:textId="7841F85A" w:rsidR="00932EF1" w:rsidRPr="00853174" w:rsidRDefault="00B348AF" w:rsidP="00932EF1">
                <w:pPr>
                  <w:jc w:val="center"/>
                  <w:outlineLvl w:val="1"/>
                  <w:rPr>
                    <w:rFonts w:cs="Arial"/>
                    <w:b/>
                    <w:szCs w:val="22"/>
                  </w:rPr>
                </w:pPr>
                <w:r>
                  <w:rPr>
                    <w:rFonts w:ascii="MS Gothic" w:eastAsia="MS Gothic" w:hAnsi="MS Gothic" w:cs="Arial" w:hint="eastAsia"/>
                    <w:szCs w:val="22"/>
                  </w:rPr>
                  <w:t>☒</w:t>
                </w:r>
              </w:p>
            </w:tc>
          </w:sdtContent>
        </w:sdt>
      </w:tr>
      <w:tr w:rsidR="00932EF1" w:rsidRPr="00EF5FB4" w14:paraId="112B3478" w14:textId="77777777" w:rsidTr="00BF4652">
        <w:tc>
          <w:tcPr>
            <w:tcW w:w="3119" w:type="dxa"/>
            <w:vAlign w:val="center"/>
          </w:tcPr>
          <w:p w14:paraId="15D5B3C8" w14:textId="77777777" w:rsidR="00932EF1" w:rsidRPr="00853174" w:rsidRDefault="00932EF1" w:rsidP="00932EF1">
            <w:pPr>
              <w:spacing w:after="120"/>
              <w:outlineLvl w:val="1"/>
              <w:rPr>
                <w:rFonts w:cs="Arial"/>
                <w:szCs w:val="22"/>
              </w:rPr>
            </w:pPr>
            <w:r w:rsidRPr="00853174">
              <w:rPr>
                <w:rFonts w:cs="Arial"/>
                <w:szCs w:val="22"/>
              </w:rPr>
              <w:t>M3 - Transferability</w:t>
            </w:r>
          </w:p>
        </w:tc>
        <w:sdt>
          <w:sdtPr>
            <w:rPr>
              <w:rFonts w:cs="Arial"/>
              <w:szCs w:val="22"/>
            </w:rPr>
            <w:id w:val="-1774863030"/>
            <w14:checkbox>
              <w14:checked w14:val="0"/>
              <w14:checkedState w14:val="2612" w14:font="MS Gothic"/>
              <w14:uncheckedState w14:val="2610" w14:font="MS Gothic"/>
            </w14:checkbox>
          </w:sdtPr>
          <w:sdtEndPr/>
          <w:sdtContent>
            <w:tc>
              <w:tcPr>
                <w:tcW w:w="1417" w:type="dxa"/>
              </w:tcPr>
              <w:p w14:paraId="425EC8DD"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1409038636"/>
            <w14:checkbox>
              <w14:checked w14:val="0"/>
              <w14:checkedState w14:val="2612" w14:font="MS Gothic"/>
              <w14:uncheckedState w14:val="2610" w14:font="MS Gothic"/>
            </w14:checkbox>
          </w:sdtPr>
          <w:sdtEndPr/>
          <w:sdtContent>
            <w:tc>
              <w:tcPr>
                <w:tcW w:w="1418" w:type="dxa"/>
              </w:tcPr>
              <w:p w14:paraId="494C8B85"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924178537"/>
            <w14:checkbox>
              <w14:checked w14:val="0"/>
              <w14:checkedState w14:val="2612" w14:font="MS Gothic"/>
              <w14:uncheckedState w14:val="2610" w14:font="MS Gothic"/>
            </w14:checkbox>
          </w:sdtPr>
          <w:sdtEndPr/>
          <w:sdtContent>
            <w:tc>
              <w:tcPr>
                <w:tcW w:w="1519" w:type="dxa"/>
              </w:tcPr>
              <w:p w14:paraId="189140DD"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1800829896"/>
            <w14:checkbox>
              <w14:checked w14:val="1"/>
              <w14:checkedState w14:val="2612" w14:font="MS Gothic"/>
              <w14:uncheckedState w14:val="2610" w14:font="MS Gothic"/>
            </w14:checkbox>
          </w:sdtPr>
          <w:sdtEndPr/>
          <w:sdtContent>
            <w:tc>
              <w:tcPr>
                <w:tcW w:w="1458" w:type="dxa"/>
              </w:tcPr>
              <w:p w14:paraId="17722612" w14:textId="1298FBA5" w:rsidR="00932EF1" w:rsidRPr="00853174" w:rsidRDefault="00B348AF" w:rsidP="00932EF1">
                <w:pPr>
                  <w:jc w:val="center"/>
                  <w:outlineLvl w:val="1"/>
                  <w:rPr>
                    <w:rFonts w:cs="Arial"/>
                    <w:b/>
                    <w:szCs w:val="22"/>
                  </w:rPr>
                </w:pPr>
                <w:r>
                  <w:rPr>
                    <w:rFonts w:ascii="MS Gothic" w:eastAsia="MS Gothic" w:hAnsi="MS Gothic" w:cs="Arial" w:hint="eastAsia"/>
                    <w:szCs w:val="22"/>
                  </w:rPr>
                  <w:t>☒</w:t>
                </w:r>
              </w:p>
            </w:tc>
          </w:sdtContent>
        </w:sdt>
      </w:tr>
      <w:tr w:rsidR="00932EF1" w:rsidRPr="00EF5FB4" w14:paraId="0BDEDD91" w14:textId="77777777" w:rsidTr="00FB4270">
        <w:tc>
          <w:tcPr>
            <w:tcW w:w="3119" w:type="dxa"/>
            <w:vAlign w:val="center"/>
          </w:tcPr>
          <w:p w14:paraId="41888E59" w14:textId="77777777" w:rsidR="00932EF1" w:rsidRPr="00853174" w:rsidRDefault="00932EF1" w:rsidP="00932EF1">
            <w:pPr>
              <w:spacing w:after="120"/>
              <w:outlineLvl w:val="1"/>
              <w:rPr>
                <w:rFonts w:cs="Arial"/>
                <w:szCs w:val="22"/>
              </w:rPr>
            </w:pPr>
            <w:r w:rsidRPr="00853174">
              <w:rPr>
                <w:rFonts w:cs="Arial"/>
                <w:szCs w:val="22"/>
              </w:rPr>
              <w:t>M4 -</w:t>
            </w:r>
            <w:r>
              <w:rPr>
                <w:rFonts w:cs="Arial"/>
                <w:szCs w:val="22"/>
              </w:rPr>
              <w:t xml:space="preserve"> Between-Laboratory Reproducibility</w:t>
            </w:r>
          </w:p>
        </w:tc>
        <w:sdt>
          <w:sdtPr>
            <w:rPr>
              <w:rFonts w:cs="Arial"/>
              <w:szCs w:val="22"/>
            </w:rPr>
            <w:id w:val="-495804669"/>
            <w14:checkbox>
              <w14:checked w14:val="0"/>
              <w14:checkedState w14:val="2612" w14:font="MS Gothic"/>
              <w14:uncheckedState w14:val="2610" w14:font="MS Gothic"/>
            </w14:checkbox>
          </w:sdtPr>
          <w:sdtEndPr/>
          <w:sdtContent>
            <w:tc>
              <w:tcPr>
                <w:tcW w:w="1417" w:type="dxa"/>
              </w:tcPr>
              <w:p w14:paraId="2EC9D35C"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53939852"/>
            <w14:checkbox>
              <w14:checked w14:val="0"/>
              <w14:checkedState w14:val="2612" w14:font="MS Gothic"/>
              <w14:uncheckedState w14:val="2610" w14:font="MS Gothic"/>
            </w14:checkbox>
          </w:sdtPr>
          <w:sdtEndPr/>
          <w:sdtContent>
            <w:tc>
              <w:tcPr>
                <w:tcW w:w="1418" w:type="dxa"/>
              </w:tcPr>
              <w:p w14:paraId="0FBE40E6"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47276901"/>
            <w14:checkbox>
              <w14:checked w14:val="0"/>
              <w14:checkedState w14:val="2612" w14:font="MS Gothic"/>
              <w14:uncheckedState w14:val="2610" w14:font="MS Gothic"/>
            </w14:checkbox>
          </w:sdtPr>
          <w:sdtEndPr/>
          <w:sdtContent>
            <w:tc>
              <w:tcPr>
                <w:tcW w:w="1519" w:type="dxa"/>
              </w:tcPr>
              <w:p w14:paraId="10CC6E2E"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228765247"/>
            <w14:checkbox>
              <w14:checked w14:val="1"/>
              <w14:checkedState w14:val="2612" w14:font="MS Gothic"/>
              <w14:uncheckedState w14:val="2610" w14:font="MS Gothic"/>
            </w14:checkbox>
          </w:sdtPr>
          <w:sdtEndPr/>
          <w:sdtContent>
            <w:tc>
              <w:tcPr>
                <w:tcW w:w="1458" w:type="dxa"/>
              </w:tcPr>
              <w:p w14:paraId="0DAB9E26" w14:textId="5F83DDB8" w:rsidR="00932EF1" w:rsidRPr="00853174" w:rsidRDefault="00B348AF" w:rsidP="00932EF1">
                <w:pPr>
                  <w:jc w:val="center"/>
                  <w:outlineLvl w:val="1"/>
                  <w:rPr>
                    <w:rFonts w:cs="Arial"/>
                    <w:b/>
                    <w:szCs w:val="22"/>
                  </w:rPr>
                </w:pPr>
                <w:r>
                  <w:rPr>
                    <w:rFonts w:ascii="MS Gothic" w:eastAsia="MS Gothic" w:hAnsi="MS Gothic" w:cs="Arial" w:hint="eastAsia"/>
                    <w:szCs w:val="22"/>
                  </w:rPr>
                  <w:t>☒</w:t>
                </w:r>
              </w:p>
            </w:tc>
          </w:sdtContent>
        </w:sdt>
      </w:tr>
      <w:tr w:rsidR="00932EF1" w:rsidRPr="00EF5FB4" w14:paraId="293AD82B" w14:textId="77777777" w:rsidTr="00BF4652">
        <w:tc>
          <w:tcPr>
            <w:tcW w:w="3119" w:type="dxa"/>
            <w:vAlign w:val="center"/>
          </w:tcPr>
          <w:p w14:paraId="7FE6BB45" w14:textId="77777777" w:rsidR="00932EF1" w:rsidRPr="00853174" w:rsidRDefault="00932EF1" w:rsidP="00932EF1">
            <w:pPr>
              <w:spacing w:after="120"/>
              <w:outlineLvl w:val="1"/>
              <w:rPr>
                <w:rFonts w:cs="Arial"/>
                <w:szCs w:val="22"/>
              </w:rPr>
            </w:pPr>
            <w:r w:rsidRPr="00853174">
              <w:rPr>
                <w:rFonts w:cs="Arial"/>
                <w:szCs w:val="22"/>
              </w:rPr>
              <w:t>M5 - Predictive Capacity</w:t>
            </w:r>
          </w:p>
        </w:tc>
        <w:sdt>
          <w:sdtPr>
            <w:rPr>
              <w:rFonts w:cs="Arial"/>
              <w:szCs w:val="22"/>
            </w:rPr>
            <w:id w:val="-1308780340"/>
            <w14:checkbox>
              <w14:checked w14:val="0"/>
              <w14:checkedState w14:val="2612" w14:font="MS Gothic"/>
              <w14:uncheckedState w14:val="2610" w14:font="MS Gothic"/>
            </w14:checkbox>
          </w:sdtPr>
          <w:sdtEndPr/>
          <w:sdtContent>
            <w:tc>
              <w:tcPr>
                <w:tcW w:w="1417" w:type="dxa"/>
              </w:tcPr>
              <w:p w14:paraId="51AB3DBA"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2022150222"/>
            <w14:checkbox>
              <w14:checked w14:val="0"/>
              <w14:checkedState w14:val="2612" w14:font="MS Gothic"/>
              <w14:uncheckedState w14:val="2610" w14:font="MS Gothic"/>
            </w14:checkbox>
          </w:sdtPr>
          <w:sdtEndPr/>
          <w:sdtContent>
            <w:tc>
              <w:tcPr>
                <w:tcW w:w="1418" w:type="dxa"/>
              </w:tcPr>
              <w:p w14:paraId="316BE58F"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235246787"/>
            <w14:checkbox>
              <w14:checked w14:val="0"/>
              <w14:checkedState w14:val="2612" w14:font="MS Gothic"/>
              <w14:uncheckedState w14:val="2610" w14:font="MS Gothic"/>
            </w14:checkbox>
          </w:sdtPr>
          <w:sdtEndPr/>
          <w:sdtContent>
            <w:tc>
              <w:tcPr>
                <w:tcW w:w="1519" w:type="dxa"/>
              </w:tcPr>
              <w:p w14:paraId="13526263"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1031957467"/>
            <w14:checkbox>
              <w14:checked w14:val="1"/>
              <w14:checkedState w14:val="2612" w14:font="MS Gothic"/>
              <w14:uncheckedState w14:val="2610" w14:font="MS Gothic"/>
            </w14:checkbox>
          </w:sdtPr>
          <w:sdtEndPr/>
          <w:sdtContent>
            <w:tc>
              <w:tcPr>
                <w:tcW w:w="1458" w:type="dxa"/>
              </w:tcPr>
              <w:p w14:paraId="5A9535B9" w14:textId="5ADCC23F" w:rsidR="00932EF1" w:rsidRPr="00853174" w:rsidRDefault="00B348AF" w:rsidP="00932EF1">
                <w:pPr>
                  <w:jc w:val="center"/>
                  <w:outlineLvl w:val="1"/>
                  <w:rPr>
                    <w:rFonts w:cs="Arial"/>
                    <w:b/>
                    <w:szCs w:val="22"/>
                  </w:rPr>
                </w:pPr>
                <w:r>
                  <w:rPr>
                    <w:rFonts w:ascii="MS Gothic" w:eastAsia="MS Gothic" w:hAnsi="MS Gothic" w:cs="Arial" w:hint="eastAsia"/>
                    <w:szCs w:val="22"/>
                  </w:rPr>
                  <w:t>☒</w:t>
                </w:r>
              </w:p>
            </w:tc>
          </w:sdtContent>
        </w:sdt>
      </w:tr>
      <w:tr w:rsidR="00932EF1" w:rsidRPr="00EF5FB4" w14:paraId="2A8CC5EA" w14:textId="77777777" w:rsidTr="00BF4652">
        <w:tc>
          <w:tcPr>
            <w:tcW w:w="3119" w:type="dxa"/>
            <w:vAlign w:val="center"/>
          </w:tcPr>
          <w:p w14:paraId="5183BAEB" w14:textId="77777777" w:rsidR="00932EF1" w:rsidRPr="00853174" w:rsidRDefault="00932EF1" w:rsidP="00932EF1">
            <w:pPr>
              <w:spacing w:after="120"/>
              <w:outlineLvl w:val="1"/>
              <w:rPr>
                <w:rFonts w:cs="Arial"/>
                <w:szCs w:val="22"/>
              </w:rPr>
            </w:pPr>
            <w:r w:rsidRPr="00853174">
              <w:rPr>
                <w:rFonts w:cs="Arial"/>
                <w:szCs w:val="22"/>
              </w:rPr>
              <w:t>M6 -</w:t>
            </w:r>
            <w:r>
              <w:rPr>
                <w:rFonts w:cs="Arial"/>
                <w:szCs w:val="22"/>
              </w:rPr>
              <w:t xml:space="preserve"> </w:t>
            </w:r>
            <w:r w:rsidRPr="00853174">
              <w:rPr>
                <w:rFonts w:cs="Arial"/>
                <w:szCs w:val="22"/>
              </w:rPr>
              <w:t>Applicability Domain</w:t>
            </w:r>
          </w:p>
        </w:tc>
        <w:sdt>
          <w:sdtPr>
            <w:rPr>
              <w:rFonts w:cs="Arial"/>
              <w:szCs w:val="22"/>
            </w:rPr>
            <w:id w:val="-813408665"/>
            <w14:checkbox>
              <w14:checked w14:val="0"/>
              <w14:checkedState w14:val="2612" w14:font="MS Gothic"/>
              <w14:uncheckedState w14:val="2610" w14:font="MS Gothic"/>
            </w14:checkbox>
          </w:sdtPr>
          <w:sdtEndPr/>
          <w:sdtContent>
            <w:tc>
              <w:tcPr>
                <w:tcW w:w="1417" w:type="dxa"/>
              </w:tcPr>
              <w:p w14:paraId="45A6A648"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1847704193"/>
            <w14:checkbox>
              <w14:checked w14:val="0"/>
              <w14:checkedState w14:val="2612" w14:font="MS Gothic"/>
              <w14:uncheckedState w14:val="2610" w14:font="MS Gothic"/>
            </w14:checkbox>
          </w:sdtPr>
          <w:sdtEndPr/>
          <w:sdtContent>
            <w:tc>
              <w:tcPr>
                <w:tcW w:w="1418" w:type="dxa"/>
              </w:tcPr>
              <w:p w14:paraId="2545FAFD"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900029527"/>
            <w14:checkbox>
              <w14:checked w14:val="0"/>
              <w14:checkedState w14:val="2612" w14:font="MS Gothic"/>
              <w14:uncheckedState w14:val="2610" w14:font="MS Gothic"/>
            </w14:checkbox>
          </w:sdtPr>
          <w:sdtEndPr/>
          <w:sdtContent>
            <w:tc>
              <w:tcPr>
                <w:tcW w:w="1519" w:type="dxa"/>
              </w:tcPr>
              <w:p w14:paraId="08BA85CB"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1048444733"/>
            <w14:checkbox>
              <w14:checked w14:val="1"/>
              <w14:checkedState w14:val="2612" w14:font="MS Gothic"/>
              <w14:uncheckedState w14:val="2610" w14:font="MS Gothic"/>
            </w14:checkbox>
          </w:sdtPr>
          <w:sdtEndPr/>
          <w:sdtContent>
            <w:tc>
              <w:tcPr>
                <w:tcW w:w="1458" w:type="dxa"/>
              </w:tcPr>
              <w:p w14:paraId="76AB73F7" w14:textId="0EF1E534" w:rsidR="00932EF1" w:rsidRPr="00853174" w:rsidRDefault="00B348AF" w:rsidP="00932EF1">
                <w:pPr>
                  <w:jc w:val="center"/>
                  <w:outlineLvl w:val="1"/>
                  <w:rPr>
                    <w:rFonts w:cs="Arial"/>
                    <w:b/>
                    <w:szCs w:val="22"/>
                  </w:rPr>
                </w:pPr>
                <w:r>
                  <w:rPr>
                    <w:rFonts w:ascii="MS Gothic" w:eastAsia="MS Gothic" w:hAnsi="MS Gothic" w:cs="Arial" w:hint="eastAsia"/>
                    <w:szCs w:val="22"/>
                  </w:rPr>
                  <w:t>☒</w:t>
                </w:r>
              </w:p>
            </w:tc>
          </w:sdtContent>
        </w:sdt>
      </w:tr>
      <w:tr w:rsidR="00932EF1" w:rsidRPr="00EF5FB4" w14:paraId="6ACA5FA4" w14:textId="77777777" w:rsidTr="00BF4652">
        <w:tc>
          <w:tcPr>
            <w:tcW w:w="3119" w:type="dxa"/>
            <w:vAlign w:val="center"/>
          </w:tcPr>
          <w:p w14:paraId="75916D28" w14:textId="77777777" w:rsidR="00932EF1" w:rsidRPr="00853174" w:rsidRDefault="00932EF1" w:rsidP="00932EF1">
            <w:pPr>
              <w:spacing w:after="120"/>
              <w:outlineLvl w:val="1"/>
              <w:rPr>
                <w:rFonts w:cs="Arial"/>
                <w:szCs w:val="22"/>
              </w:rPr>
            </w:pPr>
            <w:r w:rsidRPr="00853174">
              <w:rPr>
                <w:rFonts w:cs="Arial"/>
                <w:szCs w:val="22"/>
              </w:rPr>
              <w:t>M7 - Performance Standards</w:t>
            </w:r>
          </w:p>
        </w:tc>
        <w:sdt>
          <w:sdtPr>
            <w:rPr>
              <w:rFonts w:cs="Arial"/>
              <w:szCs w:val="22"/>
            </w:rPr>
            <w:id w:val="843969718"/>
            <w14:checkbox>
              <w14:checked w14:val="0"/>
              <w14:checkedState w14:val="2612" w14:font="MS Gothic"/>
              <w14:uncheckedState w14:val="2610" w14:font="MS Gothic"/>
            </w14:checkbox>
          </w:sdtPr>
          <w:sdtEndPr/>
          <w:sdtContent>
            <w:tc>
              <w:tcPr>
                <w:tcW w:w="1417" w:type="dxa"/>
              </w:tcPr>
              <w:p w14:paraId="67159EDA"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1311786544"/>
            <w14:checkbox>
              <w14:checked w14:val="0"/>
              <w14:checkedState w14:val="2612" w14:font="MS Gothic"/>
              <w14:uncheckedState w14:val="2610" w14:font="MS Gothic"/>
            </w14:checkbox>
          </w:sdtPr>
          <w:sdtEndPr/>
          <w:sdtContent>
            <w:tc>
              <w:tcPr>
                <w:tcW w:w="1418" w:type="dxa"/>
              </w:tcPr>
              <w:p w14:paraId="437BECD5"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2095055279"/>
            <w14:checkbox>
              <w14:checked w14:val="0"/>
              <w14:checkedState w14:val="2612" w14:font="MS Gothic"/>
              <w14:uncheckedState w14:val="2610" w14:font="MS Gothic"/>
            </w14:checkbox>
          </w:sdtPr>
          <w:sdtEndPr/>
          <w:sdtContent>
            <w:tc>
              <w:tcPr>
                <w:tcW w:w="1519" w:type="dxa"/>
              </w:tcPr>
              <w:p w14:paraId="043986D7" w14:textId="77777777" w:rsidR="00932EF1" w:rsidRPr="00853174" w:rsidRDefault="00932EF1" w:rsidP="00932EF1">
                <w:pPr>
                  <w:jc w:val="center"/>
                  <w:outlineLvl w:val="1"/>
                  <w:rPr>
                    <w:rFonts w:cs="Arial"/>
                    <w:szCs w:val="22"/>
                  </w:rPr>
                </w:pPr>
                <w:r>
                  <w:rPr>
                    <w:rFonts w:ascii="MS Gothic" w:eastAsia="MS Gothic" w:hAnsi="MS Gothic" w:cs="Arial" w:hint="eastAsia"/>
                    <w:szCs w:val="22"/>
                  </w:rPr>
                  <w:t>☐</w:t>
                </w:r>
              </w:p>
            </w:tc>
          </w:sdtContent>
        </w:sdt>
        <w:sdt>
          <w:sdtPr>
            <w:rPr>
              <w:rFonts w:cs="Arial"/>
              <w:szCs w:val="22"/>
            </w:rPr>
            <w:id w:val="-420569502"/>
            <w14:checkbox>
              <w14:checked w14:val="0"/>
              <w14:checkedState w14:val="2612" w14:font="MS Gothic"/>
              <w14:uncheckedState w14:val="2610" w14:font="MS Gothic"/>
            </w14:checkbox>
          </w:sdtPr>
          <w:sdtEndPr/>
          <w:sdtContent>
            <w:tc>
              <w:tcPr>
                <w:tcW w:w="1458" w:type="dxa"/>
              </w:tcPr>
              <w:p w14:paraId="2DF6A951" w14:textId="77777777" w:rsidR="00932EF1" w:rsidRPr="00853174" w:rsidRDefault="00932EF1" w:rsidP="00932EF1">
                <w:pPr>
                  <w:jc w:val="center"/>
                  <w:outlineLvl w:val="1"/>
                  <w:rPr>
                    <w:rFonts w:cs="Arial"/>
                    <w:b/>
                    <w:szCs w:val="22"/>
                  </w:rPr>
                </w:pPr>
                <w:r>
                  <w:rPr>
                    <w:rFonts w:ascii="MS Gothic" w:eastAsia="MS Gothic" w:hAnsi="MS Gothic" w:cs="Arial" w:hint="eastAsia"/>
                    <w:szCs w:val="22"/>
                  </w:rPr>
                  <w:t>☐</w:t>
                </w:r>
              </w:p>
            </w:tc>
          </w:sdtContent>
        </w:sdt>
      </w:tr>
    </w:tbl>
    <w:p w14:paraId="70C400E6" w14:textId="77777777" w:rsidR="00853174" w:rsidRPr="00853174" w:rsidRDefault="00853174" w:rsidP="00853174">
      <w:pPr>
        <w:rPr>
          <w:rFonts w:cs="Arial"/>
          <w:szCs w:val="22"/>
        </w:rPr>
      </w:pPr>
    </w:p>
    <w:p w14:paraId="2A636E2B" w14:textId="77777777" w:rsidR="00853174" w:rsidRPr="00853174" w:rsidRDefault="00853174" w:rsidP="00853174">
      <w:pPr>
        <w:rPr>
          <w:rFonts w:cs="Arial"/>
          <w:b/>
          <w:i/>
          <w:szCs w:val="22"/>
        </w:rPr>
      </w:pPr>
      <w:r w:rsidRPr="00853174">
        <w:rPr>
          <w:rFonts w:cs="Arial"/>
          <w:b/>
          <w:i/>
          <w:szCs w:val="22"/>
        </w:rPr>
        <w:t>Any additional comments from the assessment team:</w:t>
      </w:r>
    </w:p>
    <w:p w14:paraId="43862FC7" w14:textId="77777777" w:rsidR="008038F6" w:rsidRPr="00EF602A" w:rsidRDefault="008038F6" w:rsidP="00EF602A">
      <w:pPr>
        <w:rPr>
          <w:b/>
          <w:i/>
        </w:rPr>
      </w:pPr>
    </w:p>
    <w:p w14:paraId="0DE3BC10" w14:textId="7C45274F" w:rsidR="00234914" w:rsidRPr="00403B9C" w:rsidRDefault="00403B9C" w:rsidP="00EF602A">
      <w:r w:rsidRPr="00403B9C">
        <w:t>R</w:t>
      </w:r>
      <w:r w:rsidR="00BD0DE5">
        <w:t>a</w:t>
      </w:r>
      <w:r w:rsidRPr="00403B9C">
        <w:t>w data were missing in the initial submission but were then provided upon request.</w:t>
      </w:r>
    </w:p>
    <w:p w14:paraId="74B27253" w14:textId="77777777" w:rsidR="00234914" w:rsidRPr="00EF602A" w:rsidRDefault="00234914" w:rsidP="00EF602A">
      <w:pPr>
        <w:rPr>
          <w:b/>
          <w:i/>
        </w:rPr>
      </w:pPr>
    </w:p>
    <w:p w14:paraId="7CD8C30C" w14:textId="77777777" w:rsidR="00234914" w:rsidRPr="00EF602A" w:rsidRDefault="00234914" w:rsidP="00EF602A">
      <w:pPr>
        <w:rPr>
          <w:b/>
          <w:i/>
        </w:rPr>
      </w:pPr>
    </w:p>
    <w:p w14:paraId="22BFAEF4" w14:textId="77777777" w:rsidR="00234914" w:rsidRPr="00EF602A" w:rsidRDefault="00234914" w:rsidP="00EF602A">
      <w:pPr>
        <w:rPr>
          <w:b/>
          <w:i/>
        </w:rPr>
      </w:pPr>
    </w:p>
    <w:p w14:paraId="2EA78967" w14:textId="77777777" w:rsidR="0097139B" w:rsidRDefault="0097139B" w:rsidP="00853174">
      <w:pPr>
        <w:rPr>
          <w:rFonts w:cs="Arial"/>
          <w:b/>
          <w:i/>
          <w:szCs w:val="22"/>
        </w:rPr>
      </w:pPr>
    </w:p>
    <w:p w14:paraId="6C4F082F" w14:textId="77777777" w:rsidR="00234914" w:rsidRDefault="00234914" w:rsidP="00575F90">
      <w:pPr>
        <w:tabs>
          <w:tab w:val="left" w:pos="5103"/>
        </w:tabs>
        <w:jc w:val="both"/>
        <w:outlineLvl w:val="0"/>
      </w:pPr>
    </w:p>
    <w:p w14:paraId="2EF9F620" w14:textId="77777777" w:rsidR="00234914" w:rsidRDefault="00234914" w:rsidP="00575F90">
      <w:pPr>
        <w:tabs>
          <w:tab w:val="left" w:pos="5103"/>
        </w:tabs>
        <w:jc w:val="both"/>
        <w:outlineLvl w:val="0"/>
      </w:pPr>
    </w:p>
    <w:p w14:paraId="4663F7A0" w14:textId="77777777" w:rsidR="00234914" w:rsidRDefault="00234914" w:rsidP="002130A8">
      <w:pPr>
        <w:tabs>
          <w:tab w:val="left" w:pos="5103"/>
        </w:tabs>
        <w:outlineLvl w:val="0"/>
      </w:pPr>
    </w:p>
    <w:p w14:paraId="041F9257" w14:textId="77777777" w:rsidR="00234914" w:rsidRDefault="00234914" w:rsidP="00575F90">
      <w:pPr>
        <w:tabs>
          <w:tab w:val="left" w:pos="5103"/>
        </w:tabs>
        <w:jc w:val="both"/>
        <w:outlineLvl w:val="0"/>
      </w:pPr>
    </w:p>
    <w:p w14:paraId="4A3DC595" w14:textId="77777777" w:rsidR="00E43F2F" w:rsidRPr="00A50FFF" w:rsidRDefault="00E43F2F" w:rsidP="00953A4C">
      <w:pPr>
        <w:tabs>
          <w:tab w:val="left" w:pos="5103"/>
        </w:tabs>
        <w:jc w:val="both"/>
        <w:outlineLvl w:val="0"/>
      </w:pPr>
    </w:p>
    <w:sectPr w:rsidR="00E43F2F" w:rsidRPr="00A50FFF" w:rsidSect="00575F90">
      <w:headerReference w:type="default" r:id="rId12"/>
      <w:headerReference w:type="first" r:id="rId13"/>
      <w:pgSz w:w="11907" w:h="16840" w:code="9"/>
      <w:pgMar w:top="1134" w:right="1588" w:bottom="851" w:left="1588" w:header="992"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C3E72" w14:textId="77777777" w:rsidR="003A74AC" w:rsidRDefault="003A74AC">
      <w:r>
        <w:separator/>
      </w:r>
    </w:p>
  </w:endnote>
  <w:endnote w:type="continuationSeparator" w:id="0">
    <w:p w14:paraId="611FEB02" w14:textId="77777777" w:rsidR="003A74AC" w:rsidRDefault="003A74AC">
      <w:r>
        <w:continuationSeparator/>
      </w:r>
    </w:p>
  </w:endnote>
  <w:endnote w:type="continuationNotice" w:id="1">
    <w:p w14:paraId="0CB99F38" w14:textId="77777777" w:rsidR="003A74AC" w:rsidRDefault="003A74A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072E6" w14:textId="3B4773CF" w:rsidR="003A74AC" w:rsidRPr="00BD24A3" w:rsidRDefault="003A74AC" w:rsidP="003A74AC">
    <w:pPr>
      <w:pStyle w:val="Footer"/>
      <w:tabs>
        <w:tab w:val="clear" w:pos="4153"/>
        <w:tab w:val="clear" w:pos="8306"/>
        <w:tab w:val="right" w:pos="9000"/>
      </w:tabs>
      <w:jc w:val="both"/>
      <w:rPr>
        <w:rFonts w:ascii="Arial" w:hAnsi="Arial" w:cs="Arial"/>
        <w:sz w:val="18"/>
        <w:szCs w:val="18"/>
      </w:rPr>
    </w:pPr>
    <w:r w:rsidRPr="00C9741F">
      <w:rPr>
        <w:rStyle w:val="PageNumber"/>
        <w:rFonts w:ascii="Arial" w:hAnsi="Arial" w:cs="Arial"/>
        <w:i/>
        <w:sz w:val="20"/>
      </w:rPr>
      <w:t>J</w:t>
    </w:r>
    <w:r>
      <w:rPr>
        <w:rStyle w:val="PageNumber"/>
        <w:rFonts w:ascii="Arial" w:hAnsi="Arial" w:cs="Arial"/>
        <w:i/>
        <w:sz w:val="20"/>
      </w:rPr>
      <w:t>RC.F</w:t>
    </w:r>
    <w:r w:rsidR="001B47BD">
      <w:rPr>
        <w:rStyle w:val="PageNumber"/>
        <w:rFonts w:ascii="Arial" w:hAnsi="Arial" w:cs="Arial"/>
        <w:i/>
        <w:sz w:val="20"/>
      </w:rPr>
      <w:t>3</w:t>
    </w:r>
    <w:r>
      <w:rPr>
        <w:rStyle w:val="PageNumber"/>
        <w:rFonts w:ascii="Arial" w:hAnsi="Arial" w:cs="Arial"/>
        <w:i/>
        <w:sz w:val="20"/>
      </w:rPr>
      <w:t>-TM</w:t>
    </w:r>
    <w:r w:rsidR="001B47BD">
      <w:rPr>
        <w:rStyle w:val="PageNumber"/>
        <w:rFonts w:ascii="Arial" w:hAnsi="Arial" w:cs="Arial"/>
        <w:i/>
        <w:sz w:val="20"/>
      </w:rPr>
      <w:t>2020-04-draft</w:t>
    </w:r>
    <w:r w:rsidRPr="00BD24A3">
      <w:rPr>
        <w:rFonts w:ascii="Arial" w:hAnsi="Arial" w:cs="Arial"/>
        <w:sz w:val="18"/>
        <w:szCs w:val="18"/>
      </w:rPr>
      <w:tab/>
    </w:r>
    <w:r w:rsidRPr="00BD24A3">
      <w:rPr>
        <w:rFonts w:ascii="Arial" w:hAnsi="Arial" w:cs="Arial"/>
        <w:sz w:val="18"/>
        <w:szCs w:val="18"/>
      </w:rPr>
      <w:fldChar w:fldCharType="begin"/>
    </w:r>
    <w:r w:rsidRPr="00BD24A3">
      <w:rPr>
        <w:rFonts w:ascii="Arial" w:hAnsi="Arial" w:cs="Arial"/>
        <w:sz w:val="18"/>
        <w:szCs w:val="18"/>
      </w:rPr>
      <w:instrText xml:space="preserve"> PAGE  \* Arabic  \* MERGEFORMAT </w:instrText>
    </w:r>
    <w:r w:rsidRPr="00BD24A3">
      <w:rPr>
        <w:rFonts w:ascii="Arial" w:hAnsi="Arial" w:cs="Arial"/>
        <w:sz w:val="18"/>
        <w:szCs w:val="18"/>
      </w:rPr>
      <w:fldChar w:fldCharType="separate"/>
    </w:r>
    <w:r w:rsidR="008123D3">
      <w:rPr>
        <w:rFonts w:ascii="Arial" w:hAnsi="Arial" w:cs="Arial"/>
        <w:noProof/>
        <w:sz w:val="18"/>
        <w:szCs w:val="18"/>
      </w:rPr>
      <w:t>10</w:t>
    </w:r>
    <w:r w:rsidRPr="00BD24A3">
      <w:rPr>
        <w:rFonts w:ascii="Arial" w:hAnsi="Arial" w:cs="Arial"/>
        <w:sz w:val="18"/>
        <w:szCs w:val="18"/>
      </w:rPr>
      <w:fldChar w:fldCharType="end"/>
    </w:r>
    <w:r w:rsidRPr="00BD24A3">
      <w:rPr>
        <w:rFonts w:ascii="Arial" w:hAnsi="Arial" w:cs="Arial"/>
        <w:sz w:val="18"/>
        <w:szCs w:val="18"/>
      </w:rPr>
      <w:t xml:space="preserve"> out of </w:t>
    </w:r>
    <w:r w:rsidRPr="00BD24A3">
      <w:rPr>
        <w:rFonts w:ascii="Arial" w:hAnsi="Arial" w:cs="Arial"/>
        <w:sz w:val="18"/>
        <w:szCs w:val="18"/>
      </w:rPr>
      <w:fldChar w:fldCharType="begin"/>
    </w:r>
    <w:r w:rsidRPr="00BD24A3">
      <w:rPr>
        <w:rFonts w:ascii="Arial" w:hAnsi="Arial" w:cs="Arial"/>
        <w:sz w:val="18"/>
        <w:szCs w:val="18"/>
      </w:rPr>
      <w:instrText xml:space="preserve"> NUMPAGES  \* Arabic  \* MERGEFORMAT </w:instrText>
    </w:r>
    <w:r w:rsidRPr="00BD24A3">
      <w:rPr>
        <w:rFonts w:ascii="Arial" w:hAnsi="Arial" w:cs="Arial"/>
        <w:sz w:val="18"/>
        <w:szCs w:val="18"/>
      </w:rPr>
      <w:fldChar w:fldCharType="separate"/>
    </w:r>
    <w:r w:rsidR="008123D3">
      <w:rPr>
        <w:rFonts w:ascii="Arial" w:hAnsi="Arial" w:cs="Arial"/>
        <w:noProof/>
        <w:sz w:val="18"/>
        <w:szCs w:val="18"/>
      </w:rPr>
      <w:t>10</w:t>
    </w:r>
    <w:r w:rsidRPr="00BD24A3">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0A027" w14:textId="63B915FA" w:rsidR="002757D9" w:rsidRDefault="00F01463">
    <w:r w:rsidRPr="00F01463">
      <w:rPr>
        <w:i/>
      </w:rPr>
      <w:t>JRC.F3-TM2020-04-draft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7D74E" w14:textId="77777777" w:rsidR="003A74AC" w:rsidRDefault="003A74AC">
      <w:r>
        <w:separator/>
      </w:r>
    </w:p>
  </w:footnote>
  <w:footnote w:type="continuationSeparator" w:id="0">
    <w:p w14:paraId="288F41AF" w14:textId="77777777" w:rsidR="003A74AC" w:rsidRDefault="003A74AC">
      <w:r>
        <w:continuationSeparator/>
      </w:r>
    </w:p>
  </w:footnote>
  <w:footnote w:type="continuationNotice" w:id="1">
    <w:p w14:paraId="5DDCF818" w14:textId="77777777" w:rsidR="003A74AC" w:rsidRDefault="003A74AC">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6" w:type="dxa"/>
      <w:tblInd w:w="70" w:type="dxa"/>
      <w:tblLayout w:type="fixed"/>
      <w:tblCellMar>
        <w:left w:w="70" w:type="dxa"/>
        <w:right w:w="70" w:type="dxa"/>
      </w:tblCellMar>
      <w:tblLook w:val="0000" w:firstRow="0" w:lastRow="0" w:firstColumn="0" w:lastColumn="0" w:noHBand="0" w:noVBand="0"/>
    </w:tblPr>
    <w:tblGrid>
      <w:gridCol w:w="1843"/>
      <w:gridCol w:w="538"/>
      <w:gridCol w:w="6859"/>
      <w:gridCol w:w="336"/>
    </w:tblGrid>
    <w:tr w:rsidR="00B75740" w:rsidRPr="0039657F" w14:paraId="30263282" w14:textId="77777777" w:rsidTr="0093542C">
      <w:trPr>
        <w:gridAfter w:val="1"/>
        <w:wAfter w:w="336" w:type="dxa"/>
      </w:trPr>
      <w:tc>
        <w:tcPr>
          <w:tcW w:w="1843" w:type="dxa"/>
        </w:tcPr>
        <w:p w14:paraId="03A0B10F" w14:textId="77777777" w:rsidR="00B75740" w:rsidRPr="0039657F" w:rsidRDefault="00B75740" w:rsidP="00B75740">
          <w:pPr>
            <w:spacing w:before="40"/>
            <w:rPr>
              <w:rFonts w:ascii="Helvetica" w:hAnsi="Helvetica"/>
            </w:rPr>
          </w:pPr>
        </w:p>
      </w:tc>
      <w:tc>
        <w:tcPr>
          <w:tcW w:w="7397" w:type="dxa"/>
          <w:gridSpan w:val="2"/>
        </w:tcPr>
        <w:p w14:paraId="46B53104" w14:textId="77777777" w:rsidR="00B75740" w:rsidRPr="0039657F" w:rsidRDefault="00B75740" w:rsidP="00B75740">
          <w:pPr>
            <w:rPr>
              <w:rFonts w:ascii="Helvetica" w:hAnsi="Helvetica"/>
              <w:b/>
              <w:sz w:val="16"/>
            </w:rPr>
          </w:pPr>
        </w:p>
      </w:tc>
    </w:tr>
    <w:tr w:rsidR="00B75740" w:rsidRPr="0039657F" w14:paraId="4F7649D2" w14:textId="77777777" w:rsidTr="0093542C">
      <w:tblPrEx>
        <w:tblCellMar>
          <w:left w:w="0" w:type="dxa"/>
          <w:right w:w="0" w:type="dxa"/>
        </w:tblCellMar>
      </w:tblPrEx>
      <w:trPr>
        <w:trHeight w:val="1440"/>
      </w:trPr>
      <w:tc>
        <w:tcPr>
          <w:tcW w:w="2381" w:type="dxa"/>
          <w:gridSpan w:val="2"/>
          <w:tcBorders>
            <w:top w:val="nil"/>
            <w:left w:val="nil"/>
            <w:bottom w:val="nil"/>
            <w:right w:val="nil"/>
          </w:tcBorders>
        </w:tcPr>
        <w:p w14:paraId="446C66B7" w14:textId="77777777" w:rsidR="00B75740" w:rsidRPr="0039657F" w:rsidRDefault="00B75740" w:rsidP="00B75740">
          <w:pPr>
            <w:widowControl w:val="0"/>
            <w:autoSpaceDE w:val="0"/>
            <w:autoSpaceDN w:val="0"/>
            <w:spacing w:before="0"/>
            <w:ind w:right="85"/>
            <w:jc w:val="both"/>
            <w:rPr>
              <w:rFonts w:eastAsia="MS Mincho" w:cs="Arial"/>
              <w:sz w:val="24"/>
              <w:szCs w:val="24"/>
              <w:lang w:eastAsia="ja-JP"/>
            </w:rPr>
          </w:pPr>
          <w:r w:rsidRPr="0039657F">
            <w:rPr>
              <w:rFonts w:eastAsia="MS Mincho" w:cs="Arial"/>
              <w:noProof/>
              <w:sz w:val="20"/>
              <w:lang w:eastAsia="en-GB"/>
            </w:rPr>
            <w:drawing>
              <wp:inline distT="0" distB="0" distL="0" distR="0" wp14:anchorId="07FAE179" wp14:editId="3EA88CD0">
                <wp:extent cx="1367155" cy="675005"/>
                <wp:effectExtent l="0" t="0" r="4445" b="0"/>
                <wp:docPr id="2" name="Picture 2"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155" cy="675005"/>
                        </a:xfrm>
                        <a:prstGeom prst="rect">
                          <a:avLst/>
                        </a:prstGeom>
                        <a:noFill/>
                        <a:ln>
                          <a:noFill/>
                        </a:ln>
                      </pic:spPr>
                    </pic:pic>
                  </a:graphicData>
                </a:graphic>
              </wp:inline>
            </w:drawing>
          </w:r>
        </w:p>
        <w:p w14:paraId="0DAD4AE2" w14:textId="77777777" w:rsidR="00B75740" w:rsidRPr="0039657F" w:rsidRDefault="00B75740" w:rsidP="00B75740">
          <w:pPr>
            <w:widowControl w:val="0"/>
            <w:autoSpaceDE w:val="0"/>
            <w:autoSpaceDN w:val="0"/>
            <w:spacing w:before="0"/>
            <w:ind w:right="85"/>
            <w:rPr>
              <w:rFonts w:eastAsia="MS Mincho" w:cs="Arial"/>
              <w:sz w:val="16"/>
              <w:szCs w:val="16"/>
              <w:lang w:eastAsia="ja-JP"/>
            </w:rPr>
          </w:pPr>
        </w:p>
      </w:tc>
      <w:tc>
        <w:tcPr>
          <w:tcW w:w="7195" w:type="dxa"/>
          <w:gridSpan w:val="2"/>
          <w:tcBorders>
            <w:top w:val="nil"/>
            <w:left w:val="nil"/>
            <w:bottom w:val="nil"/>
            <w:right w:val="nil"/>
          </w:tcBorders>
        </w:tcPr>
        <w:p w14:paraId="4C1E6FC1" w14:textId="77777777" w:rsidR="00B75740" w:rsidRPr="00CF354F" w:rsidRDefault="00B75740" w:rsidP="00B75740">
          <w:pPr>
            <w:pStyle w:val="ZDGName"/>
            <w:rPr>
              <w:rFonts w:ascii="Verdana" w:hAnsi="Verdana"/>
            </w:rPr>
          </w:pPr>
          <w:r w:rsidRPr="00CF354F">
            <w:rPr>
              <w:rFonts w:ascii="Verdana" w:hAnsi="Verdana"/>
            </w:rPr>
            <w:t>EUROPEAN COMMISSION</w:t>
          </w:r>
        </w:p>
        <w:p w14:paraId="46B22D08" w14:textId="77777777" w:rsidR="00B75740" w:rsidRPr="00CF354F" w:rsidRDefault="00B75740" w:rsidP="00B75740">
          <w:pPr>
            <w:pStyle w:val="ZDGName"/>
            <w:rPr>
              <w:rFonts w:ascii="Verdana" w:hAnsi="Verdana"/>
            </w:rPr>
          </w:pPr>
          <w:r w:rsidRPr="00CF354F">
            <w:rPr>
              <w:rFonts w:ascii="Verdana" w:hAnsi="Verdana"/>
            </w:rPr>
            <w:t>JOINT RESEARCH CENTRE</w:t>
          </w:r>
        </w:p>
        <w:p w14:paraId="3C7677A7" w14:textId="77777777" w:rsidR="00B75740" w:rsidRPr="00CF354F" w:rsidRDefault="00B75740" w:rsidP="00B75740">
          <w:pPr>
            <w:pStyle w:val="ZDGName"/>
            <w:rPr>
              <w:rFonts w:ascii="Verdana" w:hAnsi="Verdana"/>
            </w:rPr>
          </w:pPr>
        </w:p>
        <w:p w14:paraId="27D92327" w14:textId="77777777" w:rsidR="00B75740" w:rsidRPr="00CF354F" w:rsidRDefault="00B75740" w:rsidP="00B75740">
          <w:pPr>
            <w:pStyle w:val="ZDGName"/>
            <w:rPr>
              <w:rFonts w:ascii="Verdana" w:hAnsi="Verdana"/>
            </w:rPr>
          </w:pPr>
          <w:r w:rsidRPr="00CF354F">
            <w:rPr>
              <w:rFonts w:ascii="Verdana" w:hAnsi="Verdana"/>
            </w:rPr>
            <w:t xml:space="preserve">Directorate F </w:t>
          </w:r>
          <w:r>
            <w:rPr>
              <w:rFonts w:ascii="Verdana" w:hAnsi="Verdana"/>
            </w:rPr>
            <w:t>–</w:t>
          </w:r>
          <w:r w:rsidRPr="00CF354F">
            <w:rPr>
              <w:rFonts w:ascii="Verdana" w:hAnsi="Verdana"/>
            </w:rPr>
            <w:t xml:space="preserve"> Health</w:t>
          </w:r>
          <w:r>
            <w:rPr>
              <w:rFonts w:ascii="Verdana" w:hAnsi="Verdana"/>
            </w:rPr>
            <w:t xml:space="preserve"> and Food </w:t>
          </w:r>
        </w:p>
        <w:p w14:paraId="50264EB5" w14:textId="77777777" w:rsidR="00B75740" w:rsidRDefault="00B75740" w:rsidP="00B75740">
          <w:pPr>
            <w:pStyle w:val="ZDGName"/>
            <w:rPr>
              <w:rFonts w:ascii="Verdana" w:hAnsi="Verdana"/>
              <w:b/>
            </w:rPr>
          </w:pPr>
          <w:r>
            <w:rPr>
              <w:rFonts w:ascii="Verdana" w:hAnsi="Verdana"/>
              <w:b/>
            </w:rPr>
            <w:t>Systems Toxicology</w:t>
          </w:r>
        </w:p>
        <w:p w14:paraId="68A650CA" w14:textId="77777777" w:rsidR="00B75740" w:rsidRPr="008A2177" w:rsidRDefault="00B75740" w:rsidP="00B75740">
          <w:pPr>
            <w:pStyle w:val="ZDGName"/>
            <w:rPr>
              <w:b/>
              <w:sz w:val="14"/>
              <w:szCs w:val="14"/>
            </w:rPr>
          </w:pPr>
          <w:r w:rsidRPr="008A2177">
            <w:rPr>
              <w:rFonts w:ascii="Verdana" w:hAnsi="Verdana"/>
              <w:b/>
              <w:sz w:val="14"/>
              <w:szCs w:val="14"/>
            </w:rPr>
            <w:t xml:space="preserve">European Union Reference Laboratory for Alternatives to </w:t>
          </w:r>
          <w:r>
            <w:rPr>
              <w:rFonts w:ascii="Verdana" w:hAnsi="Verdana"/>
              <w:b/>
              <w:sz w:val="14"/>
              <w:szCs w:val="14"/>
            </w:rPr>
            <w:t>A</w:t>
          </w:r>
          <w:r w:rsidRPr="008A2177">
            <w:rPr>
              <w:rFonts w:ascii="Verdana" w:hAnsi="Verdana"/>
              <w:b/>
              <w:sz w:val="14"/>
              <w:szCs w:val="14"/>
            </w:rPr>
            <w:t xml:space="preserve">nimal Testing (EURL ECVAM) </w:t>
          </w:r>
        </w:p>
      </w:tc>
    </w:tr>
  </w:tbl>
  <w:p w14:paraId="36641B40" w14:textId="77777777" w:rsidR="00B75740" w:rsidRDefault="00B757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6" w:type="dxa"/>
      <w:tblInd w:w="70" w:type="dxa"/>
      <w:tblLayout w:type="fixed"/>
      <w:tblCellMar>
        <w:left w:w="70" w:type="dxa"/>
        <w:right w:w="70" w:type="dxa"/>
      </w:tblCellMar>
      <w:tblLook w:val="0000" w:firstRow="0" w:lastRow="0" w:firstColumn="0" w:lastColumn="0" w:noHBand="0" w:noVBand="0"/>
    </w:tblPr>
    <w:tblGrid>
      <w:gridCol w:w="1843"/>
      <w:gridCol w:w="538"/>
      <w:gridCol w:w="6859"/>
      <w:gridCol w:w="336"/>
    </w:tblGrid>
    <w:tr w:rsidR="003A74AC" w:rsidRPr="0039657F" w14:paraId="37C2C141" w14:textId="77777777" w:rsidTr="003A74AC">
      <w:trPr>
        <w:gridAfter w:val="1"/>
        <w:wAfter w:w="336" w:type="dxa"/>
      </w:trPr>
      <w:tc>
        <w:tcPr>
          <w:tcW w:w="1843" w:type="dxa"/>
        </w:tcPr>
        <w:p w14:paraId="04AB162D" w14:textId="77777777" w:rsidR="003A74AC" w:rsidRPr="0039657F" w:rsidRDefault="003A74AC" w:rsidP="003A74AC">
          <w:pPr>
            <w:spacing w:before="40"/>
            <w:rPr>
              <w:rFonts w:ascii="Helvetica" w:hAnsi="Helvetica"/>
            </w:rPr>
          </w:pPr>
        </w:p>
      </w:tc>
      <w:tc>
        <w:tcPr>
          <w:tcW w:w="7397" w:type="dxa"/>
          <w:gridSpan w:val="2"/>
        </w:tcPr>
        <w:p w14:paraId="327E7106" w14:textId="77777777" w:rsidR="003A74AC" w:rsidRPr="0039657F" w:rsidRDefault="003A74AC" w:rsidP="003A74AC">
          <w:pPr>
            <w:rPr>
              <w:rFonts w:ascii="Helvetica" w:hAnsi="Helvetica"/>
              <w:b/>
              <w:sz w:val="16"/>
            </w:rPr>
          </w:pPr>
        </w:p>
      </w:tc>
    </w:tr>
    <w:tr w:rsidR="003A74AC" w:rsidRPr="0039657F" w14:paraId="4D4DFE4F" w14:textId="77777777" w:rsidTr="003A74AC">
      <w:tblPrEx>
        <w:tblCellMar>
          <w:left w:w="0" w:type="dxa"/>
          <w:right w:w="0" w:type="dxa"/>
        </w:tblCellMar>
      </w:tblPrEx>
      <w:trPr>
        <w:trHeight w:val="1440"/>
      </w:trPr>
      <w:tc>
        <w:tcPr>
          <w:tcW w:w="2381" w:type="dxa"/>
          <w:gridSpan w:val="2"/>
          <w:tcBorders>
            <w:top w:val="nil"/>
            <w:left w:val="nil"/>
            <w:bottom w:val="nil"/>
            <w:right w:val="nil"/>
          </w:tcBorders>
        </w:tcPr>
        <w:p w14:paraId="457CBECB" w14:textId="77777777" w:rsidR="003A74AC" w:rsidRPr="0039657F" w:rsidRDefault="003A74AC" w:rsidP="003A74AC">
          <w:pPr>
            <w:widowControl w:val="0"/>
            <w:autoSpaceDE w:val="0"/>
            <w:autoSpaceDN w:val="0"/>
            <w:spacing w:before="0"/>
            <w:ind w:right="85"/>
            <w:jc w:val="both"/>
            <w:rPr>
              <w:rFonts w:eastAsia="MS Mincho" w:cs="Arial"/>
              <w:sz w:val="24"/>
              <w:szCs w:val="24"/>
              <w:lang w:eastAsia="ja-JP"/>
            </w:rPr>
          </w:pPr>
          <w:r w:rsidRPr="0039657F">
            <w:rPr>
              <w:rFonts w:eastAsia="MS Mincho" w:cs="Arial"/>
              <w:noProof/>
              <w:sz w:val="20"/>
              <w:lang w:eastAsia="en-GB"/>
            </w:rPr>
            <w:drawing>
              <wp:inline distT="0" distB="0" distL="0" distR="0" wp14:anchorId="64F8AAA4" wp14:editId="32B74D77">
                <wp:extent cx="1367155" cy="675005"/>
                <wp:effectExtent l="0" t="0" r="4445" b="0"/>
                <wp:docPr id="17" name="Picture 17"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155" cy="675005"/>
                        </a:xfrm>
                        <a:prstGeom prst="rect">
                          <a:avLst/>
                        </a:prstGeom>
                        <a:noFill/>
                        <a:ln>
                          <a:noFill/>
                        </a:ln>
                      </pic:spPr>
                    </pic:pic>
                  </a:graphicData>
                </a:graphic>
              </wp:inline>
            </w:drawing>
          </w:r>
        </w:p>
        <w:p w14:paraId="5DB045F7" w14:textId="77777777" w:rsidR="003A74AC" w:rsidRPr="0039657F" w:rsidRDefault="003A74AC" w:rsidP="003A74AC">
          <w:pPr>
            <w:widowControl w:val="0"/>
            <w:autoSpaceDE w:val="0"/>
            <w:autoSpaceDN w:val="0"/>
            <w:spacing w:before="0"/>
            <w:ind w:right="85"/>
            <w:rPr>
              <w:rFonts w:eastAsia="MS Mincho" w:cs="Arial"/>
              <w:sz w:val="16"/>
              <w:szCs w:val="16"/>
              <w:lang w:eastAsia="ja-JP"/>
            </w:rPr>
          </w:pPr>
        </w:p>
      </w:tc>
      <w:tc>
        <w:tcPr>
          <w:tcW w:w="7195" w:type="dxa"/>
          <w:gridSpan w:val="2"/>
          <w:tcBorders>
            <w:top w:val="nil"/>
            <w:left w:val="nil"/>
            <w:bottom w:val="nil"/>
            <w:right w:val="nil"/>
          </w:tcBorders>
        </w:tcPr>
        <w:p w14:paraId="4E78F4DD" w14:textId="77777777" w:rsidR="003A74AC" w:rsidRPr="00CF354F" w:rsidRDefault="003A74AC" w:rsidP="004E1DDD">
          <w:pPr>
            <w:pStyle w:val="ZDGName"/>
            <w:rPr>
              <w:rFonts w:ascii="Verdana" w:hAnsi="Verdana"/>
            </w:rPr>
          </w:pPr>
          <w:r w:rsidRPr="00CF354F">
            <w:rPr>
              <w:rFonts w:ascii="Verdana" w:hAnsi="Verdana"/>
            </w:rPr>
            <w:t>EUROPEAN COMMISSION</w:t>
          </w:r>
        </w:p>
        <w:p w14:paraId="11569DDA" w14:textId="77777777" w:rsidR="003A74AC" w:rsidRPr="00CF354F" w:rsidRDefault="003A74AC" w:rsidP="004E1DDD">
          <w:pPr>
            <w:pStyle w:val="ZDGName"/>
            <w:rPr>
              <w:rFonts w:ascii="Verdana" w:hAnsi="Verdana"/>
            </w:rPr>
          </w:pPr>
          <w:r w:rsidRPr="00CF354F">
            <w:rPr>
              <w:rFonts w:ascii="Verdana" w:hAnsi="Verdana"/>
            </w:rPr>
            <w:t>JOINT RESEARCH CENTRE</w:t>
          </w:r>
        </w:p>
        <w:p w14:paraId="42F26653" w14:textId="77777777" w:rsidR="003A74AC" w:rsidRPr="00CF354F" w:rsidRDefault="003A74AC" w:rsidP="004E1DDD">
          <w:pPr>
            <w:pStyle w:val="ZDGName"/>
            <w:rPr>
              <w:rFonts w:ascii="Verdana" w:hAnsi="Verdana"/>
            </w:rPr>
          </w:pPr>
        </w:p>
        <w:p w14:paraId="684C457B" w14:textId="48EF10CB" w:rsidR="003A74AC" w:rsidRPr="00CF354F" w:rsidRDefault="003A74AC" w:rsidP="004E1DDD">
          <w:pPr>
            <w:pStyle w:val="ZDGName"/>
            <w:rPr>
              <w:rFonts w:ascii="Verdana" w:hAnsi="Verdana"/>
            </w:rPr>
          </w:pPr>
          <w:r w:rsidRPr="00CF354F">
            <w:rPr>
              <w:rFonts w:ascii="Verdana" w:hAnsi="Verdana"/>
            </w:rPr>
            <w:t xml:space="preserve">Directorate F </w:t>
          </w:r>
          <w:r w:rsidR="002B05E0">
            <w:rPr>
              <w:rFonts w:ascii="Verdana" w:hAnsi="Verdana"/>
            </w:rPr>
            <w:t>–</w:t>
          </w:r>
          <w:r w:rsidRPr="00CF354F">
            <w:rPr>
              <w:rFonts w:ascii="Verdana" w:hAnsi="Verdana"/>
            </w:rPr>
            <w:t xml:space="preserve"> Health</w:t>
          </w:r>
          <w:r w:rsidR="002B05E0">
            <w:rPr>
              <w:rFonts w:ascii="Verdana" w:hAnsi="Verdana"/>
            </w:rPr>
            <w:t xml:space="preserve"> and Food </w:t>
          </w:r>
        </w:p>
        <w:p w14:paraId="6824EC2D" w14:textId="77777777" w:rsidR="008A2177" w:rsidRDefault="002B05E0" w:rsidP="004E1DDD">
          <w:pPr>
            <w:pStyle w:val="ZDGName"/>
            <w:rPr>
              <w:rFonts w:ascii="Verdana" w:hAnsi="Verdana"/>
              <w:b/>
            </w:rPr>
          </w:pPr>
          <w:r>
            <w:rPr>
              <w:rFonts w:ascii="Verdana" w:hAnsi="Verdana"/>
              <w:b/>
            </w:rPr>
            <w:t>Systems Toxicology</w:t>
          </w:r>
        </w:p>
        <w:p w14:paraId="51127CE3" w14:textId="1F1F1A98" w:rsidR="003A74AC" w:rsidRPr="008A2177" w:rsidRDefault="008A2177" w:rsidP="004E1DDD">
          <w:pPr>
            <w:pStyle w:val="ZDGName"/>
            <w:rPr>
              <w:b/>
              <w:sz w:val="14"/>
              <w:szCs w:val="14"/>
            </w:rPr>
          </w:pPr>
          <w:r w:rsidRPr="008A2177">
            <w:rPr>
              <w:rFonts w:ascii="Verdana" w:hAnsi="Verdana"/>
              <w:b/>
              <w:sz w:val="14"/>
              <w:szCs w:val="14"/>
            </w:rPr>
            <w:t xml:space="preserve">European Union Reference Laboratory for Alternatives to </w:t>
          </w:r>
          <w:r>
            <w:rPr>
              <w:rFonts w:ascii="Verdana" w:hAnsi="Verdana"/>
              <w:b/>
              <w:sz w:val="14"/>
              <w:szCs w:val="14"/>
            </w:rPr>
            <w:t>A</w:t>
          </w:r>
          <w:r w:rsidRPr="008A2177">
            <w:rPr>
              <w:rFonts w:ascii="Verdana" w:hAnsi="Verdana"/>
              <w:b/>
              <w:sz w:val="14"/>
              <w:szCs w:val="14"/>
            </w:rPr>
            <w:t>nimal Testing (EURL ECVAM)</w:t>
          </w:r>
          <w:r w:rsidR="002B05E0" w:rsidRPr="008A2177">
            <w:rPr>
              <w:rFonts w:ascii="Verdana" w:hAnsi="Verdana"/>
              <w:b/>
              <w:sz w:val="14"/>
              <w:szCs w:val="14"/>
            </w:rPr>
            <w:t xml:space="preserve"> </w:t>
          </w:r>
        </w:p>
      </w:tc>
    </w:tr>
  </w:tbl>
  <w:p w14:paraId="4422017A" w14:textId="77777777" w:rsidR="003A74AC" w:rsidRPr="0039657F" w:rsidRDefault="003A74AC" w:rsidP="003A74AC">
    <w:pPr>
      <w:pStyle w:val="Header"/>
    </w:pPr>
  </w:p>
  <w:p w14:paraId="0580A7CA" w14:textId="77777777" w:rsidR="002757D9" w:rsidRDefault="002757D9"/>
  <w:p w14:paraId="76C46860" w14:textId="2D192B77" w:rsidR="00B75740" w:rsidRDefault="00B75740"/>
  <w:p w14:paraId="194507CE" w14:textId="4BC90F12" w:rsidR="00B75740" w:rsidRDefault="00B75740"/>
  <w:p w14:paraId="7B54037F" w14:textId="4BF2465F" w:rsidR="00B75740" w:rsidRDefault="00B75740"/>
  <w:p w14:paraId="28827957" w14:textId="619DAC97" w:rsidR="00B75740" w:rsidRDefault="00B75740"/>
  <w:p w14:paraId="78F30754" w14:textId="0490E379" w:rsidR="00B75740" w:rsidRDefault="00B75740"/>
  <w:p w14:paraId="45734790" w14:textId="2B8C209A" w:rsidR="00B75740" w:rsidRDefault="00B75740"/>
  <w:p w14:paraId="39CB83F8" w14:textId="1B152B25" w:rsidR="00B75740" w:rsidRDefault="00B75740"/>
  <w:p w14:paraId="1624E796" w14:textId="248BA64E" w:rsidR="00B75740" w:rsidRDefault="00B75740"/>
  <w:p w14:paraId="1C77CA64" w14:textId="5AB1DE6A" w:rsidR="00B75740" w:rsidRDefault="00B75740"/>
  <w:p w14:paraId="74AE614C" w14:textId="5A123138" w:rsidR="00B75740" w:rsidRDefault="00B75740"/>
  <w:p w14:paraId="06F7227D" w14:textId="5A0822F2" w:rsidR="00B75740" w:rsidRDefault="00B75740"/>
  <w:p w14:paraId="05317835" w14:textId="1DFA2182" w:rsidR="00B75740" w:rsidRDefault="00B75740"/>
  <w:p w14:paraId="1FE431B3" w14:textId="77777777" w:rsidR="00B75740" w:rsidRDefault="00B75740"/>
  <w:p w14:paraId="3DE718C4" w14:textId="080F27BF" w:rsidR="00B75740" w:rsidRDefault="00B75740"/>
  <w:p w14:paraId="487477CB" w14:textId="73DAEE28" w:rsidR="00F01463" w:rsidRDefault="00F01463"/>
  <w:p w14:paraId="30EF733C" w14:textId="77777777" w:rsidR="00F01463" w:rsidRDefault="00F01463"/>
  <w:p w14:paraId="4B36C023" w14:textId="7B42611D" w:rsidR="00B75740" w:rsidRDefault="00B75740"/>
  <w:p w14:paraId="3C947E36" w14:textId="126A9FAB" w:rsidR="00B75740" w:rsidRDefault="00B75740"/>
  <w:p w14:paraId="1F7C0CDC" w14:textId="686F8BE5" w:rsidR="00B75740" w:rsidRDefault="00B75740"/>
  <w:p w14:paraId="1A56B858" w14:textId="38F19C99" w:rsidR="00B75740" w:rsidRDefault="00B75740"/>
  <w:p w14:paraId="2811761F" w14:textId="77AFC4A9" w:rsidR="00B75740" w:rsidRDefault="00B75740"/>
  <w:p w14:paraId="2D18838D" w14:textId="77777777" w:rsidR="00B75740" w:rsidRDefault="00B75740"/>
  <w:p w14:paraId="3D3EBBA7" w14:textId="77777777" w:rsidR="002757D9" w:rsidRDefault="002757D9"/>
  <w:p w14:paraId="608B776D" w14:textId="77777777" w:rsidR="002757D9" w:rsidRDefault="002757D9"/>
  <w:p w14:paraId="3FA673BF" w14:textId="77777777" w:rsidR="002757D9" w:rsidRDefault="002757D9"/>
  <w:p w14:paraId="33B835C6" w14:textId="77777777" w:rsidR="002757D9" w:rsidRDefault="002757D9"/>
  <w:p w14:paraId="74FC9A10" w14:textId="77777777" w:rsidR="002757D9" w:rsidRDefault="002757D9"/>
  <w:p w14:paraId="657B55B4" w14:textId="77777777" w:rsidR="002757D9" w:rsidRDefault="002757D9"/>
  <w:p w14:paraId="0450E87C" w14:textId="77777777" w:rsidR="002757D9" w:rsidRDefault="002757D9"/>
  <w:p w14:paraId="193C1788" w14:textId="77777777" w:rsidR="002757D9" w:rsidRDefault="002757D9"/>
  <w:p w14:paraId="6F9A9EE5" w14:textId="77777777" w:rsidR="002757D9" w:rsidRDefault="002757D9"/>
  <w:p w14:paraId="5F8C8B98" w14:textId="77777777" w:rsidR="002757D9" w:rsidRDefault="002757D9"/>
  <w:p w14:paraId="279EB696" w14:textId="77777777" w:rsidR="002757D9" w:rsidRDefault="002757D9"/>
  <w:p w14:paraId="4FBA251B" w14:textId="77777777" w:rsidR="002757D9" w:rsidRDefault="002757D9"/>
  <w:p w14:paraId="0AD085D0" w14:textId="77777777" w:rsidR="002757D9" w:rsidRDefault="002757D9"/>
  <w:p w14:paraId="0E6586BC" w14:textId="77777777" w:rsidR="002757D9" w:rsidRDefault="002757D9"/>
  <w:p w14:paraId="64EE6A8F" w14:textId="77777777" w:rsidR="002757D9" w:rsidRDefault="002757D9"/>
  <w:p w14:paraId="326C5049" w14:textId="77777777" w:rsidR="002757D9" w:rsidRDefault="002757D9"/>
  <w:p w14:paraId="1E22757D" w14:textId="77777777" w:rsidR="002757D9" w:rsidRDefault="002757D9"/>
  <w:p w14:paraId="287FDED4" w14:textId="77777777" w:rsidR="002757D9" w:rsidRDefault="002757D9"/>
  <w:p w14:paraId="654BDC9D" w14:textId="77777777" w:rsidR="002757D9" w:rsidRDefault="002757D9"/>
  <w:p w14:paraId="7D157FF2" w14:textId="77777777" w:rsidR="002757D9" w:rsidRDefault="002757D9"/>
  <w:p w14:paraId="26484E5D" w14:textId="77777777" w:rsidR="002757D9" w:rsidRDefault="002757D9"/>
  <w:p w14:paraId="11361C6A" w14:textId="77777777" w:rsidR="002757D9" w:rsidRDefault="002757D9"/>
  <w:p w14:paraId="3BBBC471" w14:textId="77777777" w:rsidR="002757D9" w:rsidRDefault="002757D9"/>
  <w:p w14:paraId="7740A66E" w14:textId="77777777" w:rsidR="002757D9" w:rsidRDefault="002757D9"/>
  <w:p w14:paraId="75A23991" w14:textId="77777777" w:rsidR="002757D9" w:rsidRDefault="002757D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EF63" w14:textId="77777777" w:rsidR="003A74AC" w:rsidRDefault="003A74AC" w:rsidP="008038F6">
    <w:pPr>
      <w:pStyle w:val="Header"/>
      <w:pBdr>
        <w:top w:val="single" w:sz="4" w:space="1" w:color="auto"/>
        <w:left w:val="single" w:sz="4" w:space="4" w:color="auto"/>
        <w:bottom w:val="single" w:sz="4" w:space="1" w:color="auto"/>
        <w:right w:val="single" w:sz="4" w:space="4" w:color="auto"/>
      </w:pBdr>
      <w:tabs>
        <w:tab w:val="left" w:pos="210"/>
        <w:tab w:val="right" w:pos="8731"/>
      </w:tabs>
      <w:rPr>
        <w:sz w:val="16"/>
      </w:rPr>
    </w:pPr>
    <w:r>
      <w:rPr>
        <w:sz w:val="16"/>
      </w:rPr>
      <w:t xml:space="preserve">Report on the Full Test Submission Assessment of </w:t>
    </w:r>
    <w:r>
      <w:rPr>
        <w:i/>
        <w:sz w:val="16"/>
      </w:rPr>
      <w:t>RSMN</w:t>
    </w:r>
  </w:p>
  <w:p w14:paraId="47FE72D8" w14:textId="77777777" w:rsidR="003A74AC" w:rsidRPr="0058038B" w:rsidRDefault="003A74AC" w:rsidP="00575F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73BE8" w14:textId="77777777" w:rsidR="003A74AC" w:rsidRDefault="003A74AC" w:rsidP="00575F90">
    <w:pPr>
      <w:pStyle w:val="Header"/>
    </w:pPr>
    <w:r>
      <w:t>Insert filename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03C22"/>
    <w:multiLevelType w:val="hybridMultilevel"/>
    <w:tmpl w:val="604E281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C12DA4"/>
    <w:multiLevelType w:val="multilevel"/>
    <w:tmpl w:val="604E281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6D6070"/>
    <w:multiLevelType w:val="multilevel"/>
    <w:tmpl w:val="253000D6"/>
    <w:lvl w:ilvl="0">
      <w:start w:val="1"/>
      <w:numFmt w:val="decimal"/>
      <w:lvlText w:val="%1."/>
      <w:lvlJc w:val="left"/>
      <w:pPr>
        <w:tabs>
          <w:tab w:val="num" w:pos="432"/>
        </w:tabs>
        <w:ind w:left="432" w:hanging="432"/>
      </w:pPr>
      <w:rPr>
        <w:rFonts w:hint="default"/>
        <w:b/>
        <w:color w:val="FF660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AF51A59"/>
    <w:multiLevelType w:val="multilevel"/>
    <w:tmpl w:val="68D2AA9C"/>
    <w:lvl w:ilvl="0">
      <w:start w:val="1"/>
      <w:numFmt w:val="decimal"/>
      <w:lvlText w:val="%1."/>
      <w:lvlJc w:val="left"/>
      <w:pPr>
        <w:tabs>
          <w:tab w:val="num" w:pos="720"/>
        </w:tabs>
        <w:ind w:left="720" w:hanging="360"/>
      </w:pPr>
    </w:lvl>
    <w:lvl w:ilvl="1">
      <w:start w:val="1"/>
      <w:numFmt w:val="lowerLetter"/>
      <w:lvlText w:val="%2)"/>
      <w:lvlJc w:val="left"/>
      <w:pPr>
        <w:tabs>
          <w:tab w:val="num" w:pos="2514"/>
        </w:tabs>
        <w:ind w:left="2514" w:hanging="720"/>
      </w:pPr>
      <w:rPr>
        <w:rFonts w:hint="default"/>
      </w:rPr>
    </w:lvl>
    <w:lvl w:ilvl="2">
      <w:start w:val="1"/>
      <w:numFmt w:val="lowerRoman"/>
      <w:lvlText w:val="%3."/>
      <w:lvlJc w:val="right"/>
      <w:pPr>
        <w:tabs>
          <w:tab w:val="num" w:pos="2874"/>
        </w:tabs>
        <w:ind w:left="2874" w:hanging="180"/>
      </w:pPr>
    </w:lvl>
    <w:lvl w:ilvl="3">
      <w:start w:val="1"/>
      <w:numFmt w:val="decimal"/>
      <w:lvlText w:val="%4."/>
      <w:lvlJc w:val="left"/>
      <w:pPr>
        <w:tabs>
          <w:tab w:val="num" w:pos="3594"/>
        </w:tabs>
        <w:ind w:left="3594" w:hanging="360"/>
      </w:pPr>
    </w:lvl>
    <w:lvl w:ilvl="4">
      <w:start w:val="1"/>
      <w:numFmt w:val="lowerLetter"/>
      <w:lvlText w:val="%5."/>
      <w:lvlJc w:val="left"/>
      <w:pPr>
        <w:tabs>
          <w:tab w:val="num" w:pos="4314"/>
        </w:tabs>
        <w:ind w:left="4314" w:hanging="360"/>
      </w:pPr>
    </w:lvl>
    <w:lvl w:ilvl="5">
      <w:start w:val="1"/>
      <w:numFmt w:val="lowerRoman"/>
      <w:lvlText w:val="%6."/>
      <w:lvlJc w:val="right"/>
      <w:pPr>
        <w:tabs>
          <w:tab w:val="num" w:pos="5034"/>
        </w:tabs>
        <w:ind w:left="5034" w:hanging="180"/>
      </w:pPr>
    </w:lvl>
    <w:lvl w:ilvl="6">
      <w:start w:val="1"/>
      <w:numFmt w:val="decimal"/>
      <w:lvlText w:val="%7."/>
      <w:lvlJc w:val="left"/>
      <w:pPr>
        <w:tabs>
          <w:tab w:val="num" w:pos="5754"/>
        </w:tabs>
        <w:ind w:left="5754" w:hanging="360"/>
      </w:pPr>
    </w:lvl>
    <w:lvl w:ilvl="7">
      <w:start w:val="1"/>
      <w:numFmt w:val="lowerLetter"/>
      <w:lvlText w:val="%8."/>
      <w:lvlJc w:val="left"/>
      <w:pPr>
        <w:tabs>
          <w:tab w:val="num" w:pos="6474"/>
        </w:tabs>
        <w:ind w:left="6474" w:hanging="360"/>
      </w:pPr>
    </w:lvl>
    <w:lvl w:ilvl="8">
      <w:start w:val="1"/>
      <w:numFmt w:val="lowerRoman"/>
      <w:lvlText w:val="%9."/>
      <w:lvlJc w:val="right"/>
      <w:pPr>
        <w:tabs>
          <w:tab w:val="num" w:pos="7194"/>
        </w:tabs>
        <w:ind w:left="7194" w:hanging="180"/>
      </w:pPr>
    </w:lvl>
  </w:abstractNum>
  <w:abstractNum w:abstractNumId="4" w15:restartNumberingAfterBreak="0">
    <w:nsid w:val="0D714D31"/>
    <w:multiLevelType w:val="hybridMultilevel"/>
    <w:tmpl w:val="3934FCD6"/>
    <w:lvl w:ilvl="0" w:tplc="DC2C1CA8">
      <w:start w:val="1"/>
      <w:numFmt w:val="bullet"/>
      <w:lvlText w:val="-"/>
      <w:lvlJc w:val="left"/>
      <w:pPr>
        <w:tabs>
          <w:tab w:val="num" w:pos="780"/>
        </w:tabs>
        <w:ind w:left="780" w:hanging="360"/>
      </w:pPr>
      <w:rPr>
        <w:rFonts w:ascii="Times New Roman" w:eastAsia="Times New Roman" w:hAnsi="Times New Roman" w:cs="Times New Roman"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121616B1"/>
    <w:multiLevelType w:val="hybridMultilevel"/>
    <w:tmpl w:val="E4540B72"/>
    <w:lvl w:ilvl="0" w:tplc="2152B98C">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A11CCF"/>
    <w:multiLevelType w:val="singleLevel"/>
    <w:tmpl w:val="BCDE45A6"/>
    <w:lvl w:ilvl="0">
      <w:start w:val="1"/>
      <w:numFmt w:val="upperLetter"/>
      <w:lvlText w:val="%1."/>
      <w:lvlJc w:val="left"/>
      <w:pPr>
        <w:tabs>
          <w:tab w:val="num" w:pos="360"/>
        </w:tabs>
        <w:ind w:left="360" w:hanging="360"/>
      </w:pPr>
      <w:rPr>
        <w:rFonts w:hint="default"/>
      </w:rPr>
    </w:lvl>
  </w:abstractNum>
  <w:abstractNum w:abstractNumId="7" w15:restartNumberingAfterBreak="0">
    <w:nsid w:val="19CA1863"/>
    <w:multiLevelType w:val="multilevel"/>
    <w:tmpl w:val="1542CE82"/>
    <w:lvl w:ilvl="0">
      <w:start w:val="19"/>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EA4C71"/>
    <w:multiLevelType w:val="multilevel"/>
    <w:tmpl w:val="85383A74"/>
    <w:lvl w:ilvl="0">
      <w:start w:val="8"/>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6484265"/>
    <w:multiLevelType w:val="multilevel"/>
    <w:tmpl w:val="BFB4E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2457F8"/>
    <w:multiLevelType w:val="hybridMultilevel"/>
    <w:tmpl w:val="F926AA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9C4FFC"/>
    <w:multiLevelType w:val="hybridMultilevel"/>
    <w:tmpl w:val="8A960A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C1B4B1A"/>
    <w:multiLevelType w:val="multilevel"/>
    <w:tmpl w:val="DA34992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8816FE"/>
    <w:multiLevelType w:val="hybridMultilevel"/>
    <w:tmpl w:val="DA34992E"/>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90685EA8">
      <w:start w:val="1"/>
      <w:numFmt w:val="decimal"/>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1D3251"/>
    <w:multiLevelType w:val="multilevel"/>
    <w:tmpl w:val="A38243DE"/>
    <w:lvl w:ilvl="0">
      <w:start w:val="1"/>
      <w:numFmt w:val="decimal"/>
      <w:lvlText w:val="%1"/>
      <w:lvlJc w:val="left"/>
      <w:pPr>
        <w:tabs>
          <w:tab w:val="num" w:pos="432"/>
        </w:tabs>
        <w:ind w:left="432" w:hanging="432"/>
      </w:pPr>
      <w:rPr>
        <w:rFonts w:hint="default"/>
        <w:b/>
        <w:color w:val="FF6600"/>
        <w:sz w:val="28"/>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7073A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3B6681"/>
    <w:multiLevelType w:val="multilevel"/>
    <w:tmpl w:val="DA34992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FF1900"/>
    <w:multiLevelType w:val="hybridMultilevel"/>
    <w:tmpl w:val="B0542C94"/>
    <w:lvl w:ilvl="0" w:tplc="DC2C1CA8">
      <w:start w:val="1"/>
      <w:numFmt w:val="bullet"/>
      <w:lvlText w:val="-"/>
      <w:lvlJc w:val="left"/>
      <w:pPr>
        <w:tabs>
          <w:tab w:val="num" w:pos="720"/>
        </w:tabs>
        <w:ind w:left="720" w:hanging="360"/>
      </w:pPr>
      <w:rPr>
        <w:rFonts w:ascii="Times New Roman" w:eastAsia="Times New Roman" w:hAnsi="Times New Roman" w:cs="Times New Roman" w:hint="default"/>
      </w:rPr>
    </w:lvl>
    <w:lvl w:ilvl="1" w:tplc="0809000F">
      <w:start w:val="1"/>
      <w:numFmt w:val="decimal"/>
      <w:lvlText w:val="%2."/>
      <w:lvlJc w:val="left"/>
      <w:pPr>
        <w:tabs>
          <w:tab w:val="num" w:pos="1440"/>
        </w:tabs>
        <w:ind w:left="1440" w:hanging="360"/>
      </w:pPr>
      <w:rPr>
        <w:rFonts w:hint="default"/>
      </w:rPr>
    </w:lvl>
    <w:lvl w:ilvl="2" w:tplc="90685EA8">
      <w:start w:val="1"/>
      <w:numFmt w:val="decimal"/>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C01B73"/>
    <w:multiLevelType w:val="hybridMultilevel"/>
    <w:tmpl w:val="6E7647F2"/>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594493"/>
    <w:multiLevelType w:val="hybridMultilevel"/>
    <w:tmpl w:val="1542CE82"/>
    <w:lvl w:ilvl="0" w:tplc="2152B98C">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BC38C8"/>
    <w:multiLevelType w:val="multilevel"/>
    <w:tmpl w:val="D4C4EF30"/>
    <w:lvl w:ilvl="0">
      <w:start w:val="8"/>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79481ACF"/>
    <w:multiLevelType w:val="hybridMultilevel"/>
    <w:tmpl w:val="ED428E5A"/>
    <w:lvl w:ilvl="0" w:tplc="0809000F">
      <w:start w:val="1"/>
      <w:numFmt w:val="decimal"/>
      <w:lvlText w:val="%1."/>
      <w:lvlJc w:val="left"/>
      <w:pPr>
        <w:tabs>
          <w:tab w:val="num" w:pos="720"/>
        </w:tabs>
        <w:ind w:left="720" w:hanging="360"/>
      </w:pPr>
    </w:lvl>
    <w:lvl w:ilvl="1" w:tplc="6B867B92">
      <w:start w:val="1"/>
      <w:numFmt w:val="lowerLetter"/>
      <w:lvlText w:val="%2)"/>
      <w:lvlJc w:val="left"/>
      <w:pPr>
        <w:tabs>
          <w:tab w:val="num" w:pos="1701"/>
        </w:tabs>
        <w:ind w:left="1985" w:firstLine="0"/>
      </w:pPr>
      <w:rPr>
        <w:rFonts w:hint="default"/>
      </w:rPr>
    </w:lvl>
    <w:lvl w:ilvl="2" w:tplc="0809001B">
      <w:start w:val="1"/>
      <w:numFmt w:val="lowerRoman"/>
      <w:lvlText w:val="%3."/>
      <w:lvlJc w:val="right"/>
      <w:pPr>
        <w:tabs>
          <w:tab w:val="num" w:pos="2874"/>
        </w:tabs>
        <w:ind w:left="2874" w:hanging="180"/>
      </w:pPr>
    </w:lvl>
    <w:lvl w:ilvl="3" w:tplc="0809000F" w:tentative="1">
      <w:start w:val="1"/>
      <w:numFmt w:val="decimal"/>
      <w:lvlText w:val="%4."/>
      <w:lvlJc w:val="left"/>
      <w:pPr>
        <w:tabs>
          <w:tab w:val="num" w:pos="3594"/>
        </w:tabs>
        <w:ind w:left="3594" w:hanging="360"/>
      </w:pPr>
    </w:lvl>
    <w:lvl w:ilvl="4" w:tplc="08090019" w:tentative="1">
      <w:start w:val="1"/>
      <w:numFmt w:val="lowerLetter"/>
      <w:lvlText w:val="%5."/>
      <w:lvlJc w:val="left"/>
      <w:pPr>
        <w:tabs>
          <w:tab w:val="num" w:pos="4314"/>
        </w:tabs>
        <w:ind w:left="4314" w:hanging="360"/>
      </w:pPr>
    </w:lvl>
    <w:lvl w:ilvl="5" w:tplc="0809001B" w:tentative="1">
      <w:start w:val="1"/>
      <w:numFmt w:val="lowerRoman"/>
      <w:lvlText w:val="%6."/>
      <w:lvlJc w:val="right"/>
      <w:pPr>
        <w:tabs>
          <w:tab w:val="num" w:pos="5034"/>
        </w:tabs>
        <w:ind w:left="5034" w:hanging="180"/>
      </w:pPr>
    </w:lvl>
    <w:lvl w:ilvl="6" w:tplc="0809000F" w:tentative="1">
      <w:start w:val="1"/>
      <w:numFmt w:val="decimal"/>
      <w:lvlText w:val="%7."/>
      <w:lvlJc w:val="left"/>
      <w:pPr>
        <w:tabs>
          <w:tab w:val="num" w:pos="5754"/>
        </w:tabs>
        <w:ind w:left="5754" w:hanging="360"/>
      </w:pPr>
    </w:lvl>
    <w:lvl w:ilvl="7" w:tplc="08090019" w:tentative="1">
      <w:start w:val="1"/>
      <w:numFmt w:val="lowerLetter"/>
      <w:lvlText w:val="%8."/>
      <w:lvlJc w:val="left"/>
      <w:pPr>
        <w:tabs>
          <w:tab w:val="num" w:pos="6474"/>
        </w:tabs>
        <w:ind w:left="6474" w:hanging="360"/>
      </w:pPr>
    </w:lvl>
    <w:lvl w:ilvl="8" w:tplc="0809001B" w:tentative="1">
      <w:start w:val="1"/>
      <w:numFmt w:val="lowerRoman"/>
      <w:lvlText w:val="%9."/>
      <w:lvlJc w:val="right"/>
      <w:pPr>
        <w:tabs>
          <w:tab w:val="num" w:pos="7194"/>
        </w:tabs>
        <w:ind w:left="7194" w:hanging="180"/>
      </w:pPr>
    </w:lvl>
  </w:abstractNum>
  <w:abstractNum w:abstractNumId="22" w15:restartNumberingAfterBreak="0">
    <w:nsid w:val="7B8A22D4"/>
    <w:multiLevelType w:val="hybridMultilevel"/>
    <w:tmpl w:val="C83E6E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6"/>
  </w:num>
  <w:num w:numId="3">
    <w:abstractNumId w:val="9"/>
  </w:num>
  <w:num w:numId="4">
    <w:abstractNumId w:val="2"/>
  </w:num>
  <w:num w:numId="5">
    <w:abstractNumId w:val="0"/>
  </w:num>
  <w:num w:numId="6">
    <w:abstractNumId w:val="1"/>
  </w:num>
  <w:num w:numId="7">
    <w:abstractNumId w:val="10"/>
  </w:num>
  <w:num w:numId="8">
    <w:abstractNumId w:val="5"/>
  </w:num>
  <w:num w:numId="9">
    <w:abstractNumId w:val="19"/>
  </w:num>
  <w:num w:numId="10">
    <w:abstractNumId w:val="7"/>
  </w:num>
  <w:num w:numId="11">
    <w:abstractNumId w:val="18"/>
  </w:num>
  <w:num w:numId="12">
    <w:abstractNumId w:val="14"/>
  </w:num>
  <w:num w:numId="13">
    <w:abstractNumId w:val="13"/>
  </w:num>
  <w:num w:numId="14">
    <w:abstractNumId w:val="12"/>
  </w:num>
  <w:num w:numId="15">
    <w:abstractNumId w:val="21"/>
  </w:num>
  <w:num w:numId="16">
    <w:abstractNumId w:val="16"/>
  </w:num>
  <w:num w:numId="17">
    <w:abstractNumId w:val="17"/>
  </w:num>
  <w:num w:numId="18">
    <w:abstractNumId w:val="3"/>
  </w:num>
  <w:num w:numId="19">
    <w:abstractNumId w:val="4"/>
  </w:num>
  <w:num w:numId="20">
    <w:abstractNumId w:val="22"/>
  </w:num>
  <w:num w:numId="21">
    <w:abstractNumId w:val="11"/>
  </w:num>
  <w:num w:numId="22">
    <w:abstractNumId w:val="20"/>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53249"/>
  </w:hdrShapeDefaults>
  <w:footnotePr>
    <w:footnote w:id="-1"/>
    <w:footnote w:id="0"/>
    <w:footnote w:id="1"/>
  </w:footnotePr>
  <w:endnotePr>
    <w:endnote w:id="-1"/>
    <w:endnote w:id="0"/>
    <w:endnote w:id="1"/>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956B60"/>
    <w:rsid w:val="00004061"/>
    <w:rsid w:val="000126FE"/>
    <w:rsid w:val="00022E73"/>
    <w:rsid w:val="000513FB"/>
    <w:rsid w:val="00051F94"/>
    <w:rsid w:val="0005472B"/>
    <w:rsid w:val="00057D02"/>
    <w:rsid w:val="00061D78"/>
    <w:rsid w:val="000620E8"/>
    <w:rsid w:val="00062F90"/>
    <w:rsid w:val="00064B02"/>
    <w:rsid w:val="00074F84"/>
    <w:rsid w:val="000928D7"/>
    <w:rsid w:val="000A0210"/>
    <w:rsid w:val="000A06E1"/>
    <w:rsid w:val="000B20F6"/>
    <w:rsid w:val="000B7367"/>
    <w:rsid w:val="000C1882"/>
    <w:rsid w:val="000C5302"/>
    <w:rsid w:val="000D7164"/>
    <w:rsid w:val="000F1950"/>
    <w:rsid w:val="000F2079"/>
    <w:rsid w:val="000F5785"/>
    <w:rsid w:val="00111EA4"/>
    <w:rsid w:val="00123555"/>
    <w:rsid w:val="00131D0C"/>
    <w:rsid w:val="001502AB"/>
    <w:rsid w:val="0015475B"/>
    <w:rsid w:val="00174795"/>
    <w:rsid w:val="0017601A"/>
    <w:rsid w:val="001766A5"/>
    <w:rsid w:val="00176956"/>
    <w:rsid w:val="00187B24"/>
    <w:rsid w:val="001917B8"/>
    <w:rsid w:val="00192A51"/>
    <w:rsid w:val="001A7D46"/>
    <w:rsid w:val="001B3D1D"/>
    <w:rsid w:val="001B47BD"/>
    <w:rsid w:val="001C0120"/>
    <w:rsid w:val="001C017C"/>
    <w:rsid w:val="001D3C6F"/>
    <w:rsid w:val="001D4A04"/>
    <w:rsid w:val="001E302E"/>
    <w:rsid w:val="001E46C0"/>
    <w:rsid w:val="002032BD"/>
    <w:rsid w:val="002130A8"/>
    <w:rsid w:val="00217AC9"/>
    <w:rsid w:val="00234914"/>
    <w:rsid w:val="00242FEA"/>
    <w:rsid w:val="00246DE5"/>
    <w:rsid w:val="00250C22"/>
    <w:rsid w:val="00253078"/>
    <w:rsid w:val="002670E8"/>
    <w:rsid w:val="00271894"/>
    <w:rsid w:val="00275379"/>
    <w:rsid w:val="002757D9"/>
    <w:rsid w:val="0029235A"/>
    <w:rsid w:val="0029672B"/>
    <w:rsid w:val="002978A3"/>
    <w:rsid w:val="002A0A12"/>
    <w:rsid w:val="002B05E0"/>
    <w:rsid w:val="002B1907"/>
    <w:rsid w:val="002C03DA"/>
    <w:rsid w:val="002C4EEF"/>
    <w:rsid w:val="002C74D3"/>
    <w:rsid w:val="002D4A54"/>
    <w:rsid w:val="002F2C9D"/>
    <w:rsid w:val="002F3A88"/>
    <w:rsid w:val="002F7463"/>
    <w:rsid w:val="003010F8"/>
    <w:rsid w:val="00315BB6"/>
    <w:rsid w:val="00317691"/>
    <w:rsid w:val="003265DE"/>
    <w:rsid w:val="00335F94"/>
    <w:rsid w:val="00340547"/>
    <w:rsid w:val="00340FE7"/>
    <w:rsid w:val="00347B08"/>
    <w:rsid w:val="003512F1"/>
    <w:rsid w:val="003564DC"/>
    <w:rsid w:val="00364364"/>
    <w:rsid w:val="00365299"/>
    <w:rsid w:val="0037094C"/>
    <w:rsid w:val="00372114"/>
    <w:rsid w:val="00372DFE"/>
    <w:rsid w:val="00391E65"/>
    <w:rsid w:val="003923BB"/>
    <w:rsid w:val="003A74AC"/>
    <w:rsid w:val="003C1098"/>
    <w:rsid w:val="003C134B"/>
    <w:rsid w:val="003D0AB0"/>
    <w:rsid w:val="003E1875"/>
    <w:rsid w:val="003F2680"/>
    <w:rsid w:val="003F2782"/>
    <w:rsid w:val="003F602E"/>
    <w:rsid w:val="003F713D"/>
    <w:rsid w:val="003F7B0D"/>
    <w:rsid w:val="00403B9C"/>
    <w:rsid w:val="004052A7"/>
    <w:rsid w:val="004100BF"/>
    <w:rsid w:val="00410C98"/>
    <w:rsid w:val="00411CBB"/>
    <w:rsid w:val="00416F4D"/>
    <w:rsid w:val="004200F9"/>
    <w:rsid w:val="00426432"/>
    <w:rsid w:val="00430A30"/>
    <w:rsid w:val="00432006"/>
    <w:rsid w:val="004362B4"/>
    <w:rsid w:val="00447104"/>
    <w:rsid w:val="00450B77"/>
    <w:rsid w:val="0045254B"/>
    <w:rsid w:val="00454C2B"/>
    <w:rsid w:val="00454D2A"/>
    <w:rsid w:val="00462432"/>
    <w:rsid w:val="004779CD"/>
    <w:rsid w:val="00480AE4"/>
    <w:rsid w:val="004A530B"/>
    <w:rsid w:val="004B1ADC"/>
    <w:rsid w:val="004B1B15"/>
    <w:rsid w:val="004B5183"/>
    <w:rsid w:val="004B606F"/>
    <w:rsid w:val="004B6755"/>
    <w:rsid w:val="004C2C7E"/>
    <w:rsid w:val="004C398C"/>
    <w:rsid w:val="004D230D"/>
    <w:rsid w:val="004E1DDD"/>
    <w:rsid w:val="004E73FA"/>
    <w:rsid w:val="004F2D9B"/>
    <w:rsid w:val="004F6772"/>
    <w:rsid w:val="004F7BAC"/>
    <w:rsid w:val="00505AE8"/>
    <w:rsid w:val="00510E2C"/>
    <w:rsid w:val="0051629C"/>
    <w:rsid w:val="00517344"/>
    <w:rsid w:val="0052160E"/>
    <w:rsid w:val="00521C2F"/>
    <w:rsid w:val="00526FC6"/>
    <w:rsid w:val="00527B42"/>
    <w:rsid w:val="00544729"/>
    <w:rsid w:val="00545A90"/>
    <w:rsid w:val="00555C0D"/>
    <w:rsid w:val="00562671"/>
    <w:rsid w:val="005713D7"/>
    <w:rsid w:val="00571888"/>
    <w:rsid w:val="00572A84"/>
    <w:rsid w:val="00575F90"/>
    <w:rsid w:val="0057679C"/>
    <w:rsid w:val="00586C80"/>
    <w:rsid w:val="00594F28"/>
    <w:rsid w:val="005A3861"/>
    <w:rsid w:val="005A48BE"/>
    <w:rsid w:val="005A6630"/>
    <w:rsid w:val="005A6D94"/>
    <w:rsid w:val="005B0F57"/>
    <w:rsid w:val="005C37CD"/>
    <w:rsid w:val="005C74F7"/>
    <w:rsid w:val="005D2A75"/>
    <w:rsid w:val="005D7CAE"/>
    <w:rsid w:val="006021A1"/>
    <w:rsid w:val="00602941"/>
    <w:rsid w:val="00610FAF"/>
    <w:rsid w:val="006165FA"/>
    <w:rsid w:val="0062160D"/>
    <w:rsid w:val="00621618"/>
    <w:rsid w:val="00624D07"/>
    <w:rsid w:val="00625F0E"/>
    <w:rsid w:val="006345E2"/>
    <w:rsid w:val="0063596D"/>
    <w:rsid w:val="00640EFD"/>
    <w:rsid w:val="006439FA"/>
    <w:rsid w:val="00651748"/>
    <w:rsid w:val="006605A0"/>
    <w:rsid w:val="00662039"/>
    <w:rsid w:val="006633E0"/>
    <w:rsid w:val="006636AD"/>
    <w:rsid w:val="00665042"/>
    <w:rsid w:val="006719A0"/>
    <w:rsid w:val="0067261E"/>
    <w:rsid w:val="006727ED"/>
    <w:rsid w:val="00675EA6"/>
    <w:rsid w:val="00694FAD"/>
    <w:rsid w:val="006979D1"/>
    <w:rsid w:val="006A3498"/>
    <w:rsid w:val="006B1DA8"/>
    <w:rsid w:val="006B2E46"/>
    <w:rsid w:val="006C4415"/>
    <w:rsid w:val="006D42B2"/>
    <w:rsid w:val="006D55D9"/>
    <w:rsid w:val="006D6263"/>
    <w:rsid w:val="006D6B9B"/>
    <w:rsid w:val="006D7317"/>
    <w:rsid w:val="006F2122"/>
    <w:rsid w:val="0070031B"/>
    <w:rsid w:val="00700541"/>
    <w:rsid w:val="00707E41"/>
    <w:rsid w:val="007127F5"/>
    <w:rsid w:val="00721842"/>
    <w:rsid w:val="0072496B"/>
    <w:rsid w:val="00730E70"/>
    <w:rsid w:val="00735D44"/>
    <w:rsid w:val="00735DF8"/>
    <w:rsid w:val="007375AB"/>
    <w:rsid w:val="007408FF"/>
    <w:rsid w:val="0074556D"/>
    <w:rsid w:val="0075082A"/>
    <w:rsid w:val="0075352D"/>
    <w:rsid w:val="0075699E"/>
    <w:rsid w:val="00756B83"/>
    <w:rsid w:val="007622D7"/>
    <w:rsid w:val="0076702E"/>
    <w:rsid w:val="007837FB"/>
    <w:rsid w:val="007A499C"/>
    <w:rsid w:val="007B0A84"/>
    <w:rsid w:val="007B764C"/>
    <w:rsid w:val="007D3C52"/>
    <w:rsid w:val="007E1DEA"/>
    <w:rsid w:val="007E2725"/>
    <w:rsid w:val="007E2ECF"/>
    <w:rsid w:val="007F238F"/>
    <w:rsid w:val="007F403B"/>
    <w:rsid w:val="007F7E46"/>
    <w:rsid w:val="00800B9E"/>
    <w:rsid w:val="00801C5D"/>
    <w:rsid w:val="008023DD"/>
    <w:rsid w:val="008038F6"/>
    <w:rsid w:val="008123D3"/>
    <w:rsid w:val="00817FE8"/>
    <w:rsid w:val="008207F6"/>
    <w:rsid w:val="008270A9"/>
    <w:rsid w:val="008415FB"/>
    <w:rsid w:val="008464D9"/>
    <w:rsid w:val="00850BF9"/>
    <w:rsid w:val="00853174"/>
    <w:rsid w:val="00853674"/>
    <w:rsid w:val="008754D1"/>
    <w:rsid w:val="00877027"/>
    <w:rsid w:val="00883374"/>
    <w:rsid w:val="00883F01"/>
    <w:rsid w:val="00886D2E"/>
    <w:rsid w:val="00892D0B"/>
    <w:rsid w:val="008938AE"/>
    <w:rsid w:val="008A1304"/>
    <w:rsid w:val="008A2177"/>
    <w:rsid w:val="008A603D"/>
    <w:rsid w:val="008A647B"/>
    <w:rsid w:val="008A6E85"/>
    <w:rsid w:val="008D3405"/>
    <w:rsid w:val="008D7EAE"/>
    <w:rsid w:val="008E1A40"/>
    <w:rsid w:val="008E2DAB"/>
    <w:rsid w:val="008E3ACD"/>
    <w:rsid w:val="008E7073"/>
    <w:rsid w:val="00904932"/>
    <w:rsid w:val="009078E5"/>
    <w:rsid w:val="0091053E"/>
    <w:rsid w:val="00913B50"/>
    <w:rsid w:val="00913FD0"/>
    <w:rsid w:val="00922355"/>
    <w:rsid w:val="00924F55"/>
    <w:rsid w:val="00932EF1"/>
    <w:rsid w:val="00941A5C"/>
    <w:rsid w:val="0094522D"/>
    <w:rsid w:val="00947609"/>
    <w:rsid w:val="00947B73"/>
    <w:rsid w:val="0095045A"/>
    <w:rsid w:val="00953A4C"/>
    <w:rsid w:val="00956B60"/>
    <w:rsid w:val="0096295D"/>
    <w:rsid w:val="00964AB2"/>
    <w:rsid w:val="0097139B"/>
    <w:rsid w:val="009717E9"/>
    <w:rsid w:val="00980046"/>
    <w:rsid w:val="009812CB"/>
    <w:rsid w:val="009855BE"/>
    <w:rsid w:val="0098583E"/>
    <w:rsid w:val="00991DCB"/>
    <w:rsid w:val="009B40FE"/>
    <w:rsid w:val="009C69BC"/>
    <w:rsid w:val="009D171C"/>
    <w:rsid w:val="009D220C"/>
    <w:rsid w:val="009E58EE"/>
    <w:rsid w:val="009F24E6"/>
    <w:rsid w:val="00A06568"/>
    <w:rsid w:val="00A14C98"/>
    <w:rsid w:val="00A21951"/>
    <w:rsid w:val="00A237CB"/>
    <w:rsid w:val="00A266E1"/>
    <w:rsid w:val="00A343DF"/>
    <w:rsid w:val="00A457FC"/>
    <w:rsid w:val="00A50FFF"/>
    <w:rsid w:val="00A62301"/>
    <w:rsid w:val="00A63020"/>
    <w:rsid w:val="00A64D1F"/>
    <w:rsid w:val="00A65253"/>
    <w:rsid w:val="00A737B0"/>
    <w:rsid w:val="00A80BB0"/>
    <w:rsid w:val="00A95A44"/>
    <w:rsid w:val="00A9707E"/>
    <w:rsid w:val="00A973A2"/>
    <w:rsid w:val="00AA2692"/>
    <w:rsid w:val="00AA2EB7"/>
    <w:rsid w:val="00AB12B6"/>
    <w:rsid w:val="00AB2D8F"/>
    <w:rsid w:val="00AC175F"/>
    <w:rsid w:val="00AC2212"/>
    <w:rsid w:val="00AD482E"/>
    <w:rsid w:val="00AE261B"/>
    <w:rsid w:val="00AE4CD1"/>
    <w:rsid w:val="00AE5DA8"/>
    <w:rsid w:val="00AF0257"/>
    <w:rsid w:val="00AF0396"/>
    <w:rsid w:val="00B00380"/>
    <w:rsid w:val="00B0254A"/>
    <w:rsid w:val="00B065EE"/>
    <w:rsid w:val="00B13CCD"/>
    <w:rsid w:val="00B15029"/>
    <w:rsid w:val="00B17B94"/>
    <w:rsid w:val="00B32FDC"/>
    <w:rsid w:val="00B348AF"/>
    <w:rsid w:val="00B36310"/>
    <w:rsid w:val="00B45D77"/>
    <w:rsid w:val="00B4770B"/>
    <w:rsid w:val="00B5218D"/>
    <w:rsid w:val="00B53DB7"/>
    <w:rsid w:val="00B54929"/>
    <w:rsid w:val="00B60FD2"/>
    <w:rsid w:val="00B64AC4"/>
    <w:rsid w:val="00B64AE0"/>
    <w:rsid w:val="00B64D43"/>
    <w:rsid w:val="00B70FE7"/>
    <w:rsid w:val="00B74A87"/>
    <w:rsid w:val="00B75740"/>
    <w:rsid w:val="00B762A0"/>
    <w:rsid w:val="00B80184"/>
    <w:rsid w:val="00B914CA"/>
    <w:rsid w:val="00B9496C"/>
    <w:rsid w:val="00BA1D76"/>
    <w:rsid w:val="00BB2163"/>
    <w:rsid w:val="00BC4A28"/>
    <w:rsid w:val="00BD0DE5"/>
    <w:rsid w:val="00BD1897"/>
    <w:rsid w:val="00BD3E77"/>
    <w:rsid w:val="00BE3FD3"/>
    <w:rsid w:val="00BF133D"/>
    <w:rsid w:val="00BF1F92"/>
    <w:rsid w:val="00BF4652"/>
    <w:rsid w:val="00C03AC2"/>
    <w:rsid w:val="00C06D05"/>
    <w:rsid w:val="00C141E5"/>
    <w:rsid w:val="00C1775E"/>
    <w:rsid w:val="00C17E22"/>
    <w:rsid w:val="00C2010A"/>
    <w:rsid w:val="00C227F5"/>
    <w:rsid w:val="00C23DA4"/>
    <w:rsid w:val="00C24E4E"/>
    <w:rsid w:val="00C30D71"/>
    <w:rsid w:val="00C41A23"/>
    <w:rsid w:val="00C42F9A"/>
    <w:rsid w:val="00C45C7D"/>
    <w:rsid w:val="00C5435B"/>
    <w:rsid w:val="00C6437E"/>
    <w:rsid w:val="00C65FD1"/>
    <w:rsid w:val="00C678FF"/>
    <w:rsid w:val="00C71AC5"/>
    <w:rsid w:val="00C71B7B"/>
    <w:rsid w:val="00C72982"/>
    <w:rsid w:val="00C766CC"/>
    <w:rsid w:val="00C83168"/>
    <w:rsid w:val="00C90969"/>
    <w:rsid w:val="00C9741F"/>
    <w:rsid w:val="00CA3E08"/>
    <w:rsid w:val="00CA60BC"/>
    <w:rsid w:val="00CB08EE"/>
    <w:rsid w:val="00CB6437"/>
    <w:rsid w:val="00CE3019"/>
    <w:rsid w:val="00CE6DE2"/>
    <w:rsid w:val="00CF2EA9"/>
    <w:rsid w:val="00D00615"/>
    <w:rsid w:val="00D01BD5"/>
    <w:rsid w:val="00D07096"/>
    <w:rsid w:val="00D16A86"/>
    <w:rsid w:val="00D2186D"/>
    <w:rsid w:val="00D343FA"/>
    <w:rsid w:val="00D36040"/>
    <w:rsid w:val="00D412B2"/>
    <w:rsid w:val="00D4401F"/>
    <w:rsid w:val="00D44940"/>
    <w:rsid w:val="00D52D62"/>
    <w:rsid w:val="00D53E9F"/>
    <w:rsid w:val="00D709CE"/>
    <w:rsid w:val="00D72A58"/>
    <w:rsid w:val="00D800E5"/>
    <w:rsid w:val="00D8057A"/>
    <w:rsid w:val="00D83B70"/>
    <w:rsid w:val="00D8770C"/>
    <w:rsid w:val="00DA2DE6"/>
    <w:rsid w:val="00DB1BC0"/>
    <w:rsid w:val="00DB3B86"/>
    <w:rsid w:val="00DB5C53"/>
    <w:rsid w:val="00DB7B3C"/>
    <w:rsid w:val="00DC4400"/>
    <w:rsid w:val="00DC798D"/>
    <w:rsid w:val="00DF1851"/>
    <w:rsid w:val="00DF2DBD"/>
    <w:rsid w:val="00DF34DA"/>
    <w:rsid w:val="00DF5F5E"/>
    <w:rsid w:val="00DF664A"/>
    <w:rsid w:val="00E10AFF"/>
    <w:rsid w:val="00E11C6D"/>
    <w:rsid w:val="00E20FE3"/>
    <w:rsid w:val="00E21677"/>
    <w:rsid w:val="00E265F7"/>
    <w:rsid w:val="00E37008"/>
    <w:rsid w:val="00E372B5"/>
    <w:rsid w:val="00E40DC8"/>
    <w:rsid w:val="00E41AEB"/>
    <w:rsid w:val="00E43F2F"/>
    <w:rsid w:val="00E47E5F"/>
    <w:rsid w:val="00E62C4C"/>
    <w:rsid w:val="00E63A6F"/>
    <w:rsid w:val="00E6467C"/>
    <w:rsid w:val="00E67E83"/>
    <w:rsid w:val="00E72376"/>
    <w:rsid w:val="00E80160"/>
    <w:rsid w:val="00E871FF"/>
    <w:rsid w:val="00E9360A"/>
    <w:rsid w:val="00E965C9"/>
    <w:rsid w:val="00EB3AA2"/>
    <w:rsid w:val="00EB5069"/>
    <w:rsid w:val="00EB6717"/>
    <w:rsid w:val="00EC68CC"/>
    <w:rsid w:val="00ED0038"/>
    <w:rsid w:val="00ED7DEE"/>
    <w:rsid w:val="00EE74AE"/>
    <w:rsid w:val="00EF177D"/>
    <w:rsid w:val="00EF37C7"/>
    <w:rsid w:val="00EF4F89"/>
    <w:rsid w:val="00EF5A2B"/>
    <w:rsid w:val="00EF5A8A"/>
    <w:rsid w:val="00EF602A"/>
    <w:rsid w:val="00F01463"/>
    <w:rsid w:val="00F03846"/>
    <w:rsid w:val="00F07064"/>
    <w:rsid w:val="00F11763"/>
    <w:rsid w:val="00F13C1C"/>
    <w:rsid w:val="00F27E5F"/>
    <w:rsid w:val="00F36F6C"/>
    <w:rsid w:val="00F42D15"/>
    <w:rsid w:val="00F451CA"/>
    <w:rsid w:val="00F45710"/>
    <w:rsid w:val="00F46323"/>
    <w:rsid w:val="00F50710"/>
    <w:rsid w:val="00F524D5"/>
    <w:rsid w:val="00F56894"/>
    <w:rsid w:val="00F5755F"/>
    <w:rsid w:val="00F813CE"/>
    <w:rsid w:val="00F83392"/>
    <w:rsid w:val="00F973E7"/>
    <w:rsid w:val="00FA1A6A"/>
    <w:rsid w:val="00FA553C"/>
    <w:rsid w:val="00FB4270"/>
    <w:rsid w:val="00FB4D57"/>
    <w:rsid w:val="00FB5214"/>
    <w:rsid w:val="00FC1770"/>
    <w:rsid w:val="00FC4481"/>
    <w:rsid w:val="00FE151F"/>
    <w:rsid w:val="00FF2C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48C76D05"/>
  <w15:docId w15:val="{2A562E76-45D4-487F-94DC-C055BFD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B60"/>
    <w:pPr>
      <w:spacing w:before="120"/>
    </w:pPr>
    <w:rPr>
      <w:rFonts w:ascii="Arial" w:hAnsi="Arial"/>
      <w:sz w:val="22"/>
      <w:lang w:eastAsia="en-US"/>
    </w:rPr>
  </w:style>
  <w:style w:type="paragraph" w:styleId="Heading1">
    <w:name w:val="heading 1"/>
    <w:basedOn w:val="Normal"/>
    <w:next w:val="Normal"/>
    <w:qFormat/>
    <w:rsid w:val="00956B60"/>
    <w:pPr>
      <w:keepNext/>
      <w:outlineLvl w:val="0"/>
    </w:pPr>
    <w:rPr>
      <w:b/>
      <w:sz w:val="28"/>
    </w:rPr>
  </w:style>
  <w:style w:type="paragraph" w:styleId="Heading2">
    <w:name w:val="heading 2"/>
    <w:basedOn w:val="Normal"/>
    <w:next w:val="Normal"/>
    <w:qFormat/>
    <w:rsid w:val="00956B60"/>
    <w:pPr>
      <w:keepNext/>
      <w:outlineLvl w:val="1"/>
    </w:pPr>
    <w:rPr>
      <w:b/>
      <w:caps/>
    </w:rPr>
  </w:style>
  <w:style w:type="paragraph" w:styleId="Heading3">
    <w:name w:val="heading 3"/>
    <w:basedOn w:val="Normal"/>
    <w:next w:val="Normal"/>
    <w:qFormat/>
    <w:rsid w:val="00956B60"/>
    <w:pPr>
      <w:keepNext/>
      <w:tabs>
        <w:tab w:val="left" w:pos="284"/>
        <w:tab w:val="left" w:pos="990"/>
      </w:tabs>
      <w:spacing w:before="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aliases w:val="TOC 1 Header"/>
    <w:basedOn w:val="Normal"/>
    <w:next w:val="Normal"/>
    <w:autoRedefine/>
    <w:semiHidden/>
    <w:rsid w:val="00586C80"/>
    <w:pPr>
      <w:tabs>
        <w:tab w:val="right" w:pos="7546"/>
      </w:tabs>
      <w:spacing w:line="360" w:lineRule="auto"/>
      <w:ind w:right="1758"/>
    </w:pPr>
    <w:rPr>
      <w:rFonts w:ascii="Arial Narrow" w:hAnsi="Arial Narrow"/>
      <w:color w:val="4A709E"/>
      <w:sz w:val="32"/>
    </w:rPr>
  </w:style>
  <w:style w:type="paragraph" w:styleId="Header">
    <w:name w:val="header"/>
    <w:basedOn w:val="Normal"/>
    <w:link w:val="HeaderChar"/>
    <w:rsid w:val="00956B60"/>
    <w:pPr>
      <w:tabs>
        <w:tab w:val="center" w:pos="4320"/>
        <w:tab w:val="right" w:pos="8640"/>
      </w:tabs>
    </w:pPr>
  </w:style>
  <w:style w:type="paragraph" w:styleId="BodyTextIndent2">
    <w:name w:val="Body Text Indent 2"/>
    <w:basedOn w:val="Normal"/>
    <w:rsid w:val="00956B60"/>
    <w:pPr>
      <w:ind w:left="180"/>
    </w:pPr>
    <w:rPr>
      <w:sz w:val="24"/>
    </w:rPr>
  </w:style>
  <w:style w:type="paragraph" w:styleId="Footer">
    <w:name w:val="footer"/>
    <w:basedOn w:val="Normal"/>
    <w:link w:val="FooterChar"/>
    <w:rsid w:val="00956B60"/>
    <w:pPr>
      <w:tabs>
        <w:tab w:val="center" w:pos="4153"/>
        <w:tab w:val="right" w:pos="8306"/>
      </w:tabs>
      <w:spacing w:before="0"/>
    </w:pPr>
    <w:rPr>
      <w:rFonts w:ascii="Times New Roman" w:hAnsi="Times New Roman"/>
      <w:sz w:val="24"/>
      <w:szCs w:val="24"/>
      <w:lang w:eastAsia="en-GB"/>
    </w:rPr>
  </w:style>
  <w:style w:type="table" w:styleId="TableGrid">
    <w:name w:val="Table Grid"/>
    <w:basedOn w:val="TableNormal"/>
    <w:rsid w:val="00956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56B60"/>
  </w:style>
  <w:style w:type="paragraph" w:styleId="BalloonText">
    <w:name w:val="Balloon Text"/>
    <w:basedOn w:val="Normal"/>
    <w:semiHidden/>
    <w:rsid w:val="00EC68CC"/>
    <w:rPr>
      <w:rFonts w:ascii="Tahoma" w:hAnsi="Tahoma" w:cs="Tahoma"/>
      <w:sz w:val="16"/>
      <w:szCs w:val="16"/>
    </w:rPr>
  </w:style>
  <w:style w:type="character" w:styleId="CommentReference">
    <w:name w:val="annotation reference"/>
    <w:semiHidden/>
    <w:rsid w:val="006C4415"/>
    <w:rPr>
      <w:sz w:val="16"/>
      <w:szCs w:val="16"/>
    </w:rPr>
  </w:style>
  <w:style w:type="paragraph" w:styleId="CommentText">
    <w:name w:val="annotation text"/>
    <w:basedOn w:val="Normal"/>
    <w:semiHidden/>
    <w:rsid w:val="006C4415"/>
    <w:rPr>
      <w:sz w:val="20"/>
    </w:rPr>
  </w:style>
  <w:style w:type="paragraph" w:styleId="CommentSubject">
    <w:name w:val="annotation subject"/>
    <w:basedOn w:val="CommentText"/>
    <w:next w:val="CommentText"/>
    <w:semiHidden/>
    <w:rsid w:val="006C4415"/>
    <w:rPr>
      <w:b/>
      <w:bCs/>
    </w:rPr>
  </w:style>
  <w:style w:type="paragraph" w:customStyle="1" w:styleId="ZCom">
    <w:name w:val="Z_Com"/>
    <w:basedOn w:val="Normal"/>
    <w:next w:val="ZDGName"/>
    <w:uiPriority w:val="99"/>
    <w:rsid w:val="00850BF9"/>
    <w:pPr>
      <w:widowControl w:val="0"/>
      <w:autoSpaceDE w:val="0"/>
      <w:autoSpaceDN w:val="0"/>
      <w:spacing w:before="0"/>
      <w:ind w:right="85"/>
      <w:jc w:val="both"/>
    </w:pPr>
    <w:rPr>
      <w:rFonts w:eastAsia="MS Mincho" w:cs="Arial"/>
      <w:sz w:val="24"/>
      <w:szCs w:val="24"/>
      <w:lang w:eastAsia="ja-JP"/>
    </w:rPr>
  </w:style>
  <w:style w:type="paragraph" w:customStyle="1" w:styleId="ZDGName">
    <w:name w:val="Z_DGName"/>
    <w:basedOn w:val="Normal"/>
    <w:uiPriority w:val="99"/>
    <w:rsid w:val="00850BF9"/>
    <w:pPr>
      <w:widowControl w:val="0"/>
      <w:autoSpaceDE w:val="0"/>
      <w:autoSpaceDN w:val="0"/>
      <w:spacing w:before="0"/>
      <w:ind w:right="85"/>
    </w:pPr>
    <w:rPr>
      <w:rFonts w:eastAsia="MS Mincho" w:cs="Arial"/>
      <w:sz w:val="16"/>
      <w:szCs w:val="16"/>
      <w:lang w:eastAsia="ja-JP"/>
    </w:rPr>
  </w:style>
  <w:style w:type="character" w:customStyle="1" w:styleId="HeaderChar">
    <w:name w:val="Header Char"/>
    <w:link w:val="Header"/>
    <w:locked/>
    <w:rsid w:val="00850BF9"/>
    <w:rPr>
      <w:rFonts w:ascii="Arial" w:hAnsi="Arial"/>
      <w:sz w:val="22"/>
      <w:lang w:val="en-GB" w:eastAsia="en-US" w:bidi="ar-SA"/>
    </w:rPr>
  </w:style>
  <w:style w:type="character" w:styleId="Hyperlink">
    <w:name w:val="Hyperlink"/>
    <w:rsid w:val="00AB12B6"/>
    <w:rPr>
      <w:color w:val="0000FF"/>
      <w:u w:val="single"/>
    </w:rPr>
  </w:style>
  <w:style w:type="character" w:customStyle="1" w:styleId="FooterChar">
    <w:name w:val="Footer Char"/>
    <w:basedOn w:val="DefaultParagraphFont"/>
    <w:link w:val="Footer"/>
    <w:rsid w:val="00B53DB7"/>
    <w:rPr>
      <w:sz w:val="24"/>
      <w:szCs w:val="24"/>
    </w:rPr>
  </w:style>
  <w:style w:type="paragraph" w:customStyle="1" w:styleId="Default">
    <w:name w:val="Default"/>
    <w:rsid w:val="0090493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8D3405"/>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324886">
      <w:bodyDiv w:val="1"/>
      <w:marLeft w:val="0"/>
      <w:marRight w:val="0"/>
      <w:marTop w:val="0"/>
      <w:marBottom w:val="0"/>
      <w:divBdr>
        <w:top w:val="none" w:sz="0" w:space="0" w:color="auto"/>
        <w:left w:val="none" w:sz="0" w:space="0" w:color="auto"/>
        <w:bottom w:val="none" w:sz="0" w:space="0" w:color="auto"/>
        <w:right w:val="none" w:sz="0" w:space="0" w:color="auto"/>
      </w:divBdr>
    </w:div>
    <w:div w:id="1841040265">
      <w:bodyDiv w:val="1"/>
      <w:marLeft w:val="0"/>
      <w:marRight w:val="0"/>
      <w:marTop w:val="0"/>
      <w:marBottom w:val="0"/>
      <w:divBdr>
        <w:top w:val="none" w:sz="0" w:space="0" w:color="auto"/>
        <w:left w:val="none" w:sz="0" w:space="0" w:color="auto"/>
        <w:bottom w:val="none" w:sz="0" w:space="0" w:color="auto"/>
        <w:right w:val="none" w:sz="0" w:space="0" w:color="auto"/>
      </w:divBdr>
    </w:div>
    <w:div w:id="1995063117">
      <w:bodyDiv w:val="1"/>
      <w:marLeft w:val="0"/>
      <w:marRight w:val="0"/>
      <w:marTop w:val="0"/>
      <w:marBottom w:val="0"/>
      <w:divBdr>
        <w:top w:val="none" w:sz="0" w:space="0" w:color="auto"/>
        <w:left w:val="none" w:sz="0" w:space="0" w:color="auto"/>
        <w:bottom w:val="none" w:sz="0" w:space="0" w:color="auto"/>
        <w:right w:val="none" w:sz="0" w:space="0" w:color="auto"/>
      </w:divBdr>
    </w:div>
    <w:div w:id="202342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593C8-FBD2-4384-B249-A8B63CA81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10</Pages>
  <Words>3406</Words>
  <Characters>19249</Characters>
  <Application>Microsoft Office Word</Application>
  <DocSecurity>0</DocSecurity>
  <Lines>447</Lines>
  <Paragraphs>195</Paragraphs>
  <ScaleCrop>false</ScaleCrop>
  <HeadingPairs>
    <vt:vector size="2" baseType="variant">
      <vt:variant>
        <vt:lpstr>Title</vt:lpstr>
      </vt:variant>
      <vt:variant>
        <vt:i4>1</vt:i4>
      </vt:variant>
    </vt:vector>
  </HeadingPairs>
  <TitlesOfParts>
    <vt:vector size="1" baseType="lpstr">
      <vt:lpstr>Working Instruction</vt:lpstr>
    </vt:vector>
  </TitlesOfParts>
  <Company>European Commission</Company>
  <LinksUpToDate>false</LinksUpToDate>
  <CharactersWithSpaces>22460</CharactersWithSpaces>
  <SharedDoc>false</SharedDoc>
  <HLinks>
    <vt:vector size="6" baseType="variant">
      <vt:variant>
        <vt:i4>4718683</vt:i4>
      </vt:variant>
      <vt:variant>
        <vt:i4>0</vt:i4>
      </vt:variant>
      <vt:variant>
        <vt:i4>0</vt:i4>
      </vt:variant>
      <vt:variant>
        <vt:i4>5</vt:i4>
      </vt:variant>
      <vt:variant>
        <vt:lpwstr>http://ihcpnet.jrc.it/our-ihcp/ST/quality-system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Instruction</dc:title>
  <dc:creator>BARROSO Joao (JRC-ISPRA)</dc:creator>
  <cp:lastModifiedBy>MENNECOZZI Milena (JRC-ISPRA)</cp:lastModifiedBy>
  <cp:revision>23</cp:revision>
  <cp:lastPrinted>2014-07-09T15:21:00Z</cp:lastPrinted>
  <dcterms:created xsi:type="dcterms:W3CDTF">2022-12-19T09:47:00Z</dcterms:created>
  <dcterms:modified xsi:type="dcterms:W3CDTF">2023-02-08T09:05:00Z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1</vt:lpwstr>
  </property>
  <property fmtid="{D5CDD505-2E9C-101B-9397-08002B2CF9AE}" pid="3" name="Jive_VersionGuid">
    <vt:lpwstr>399eb3e8-3c2d-4f04-8560-832b944a7346</vt:lpwstr>
  </property>
  <property fmtid="{D5CDD505-2E9C-101B-9397-08002B2CF9AE}" pid="4" name="Offisync_UniqueId">
    <vt:lpwstr>173686</vt:lpwstr>
  </property>
  <property fmtid="{D5CDD505-2E9C-101B-9397-08002B2CF9AE}" pid="5" name="Offisync_ProviderInitializationData">
    <vt:lpwstr>https://webgate.ec.europa.eu/connected</vt:lpwstr>
  </property>
  <property fmtid="{D5CDD505-2E9C-101B-9397-08002B2CF9AE}" pid="6" name="Offisync_ServerID">
    <vt:lpwstr>0d3b22a6-6203-4efc-8e8e-b5279256493b</vt:lpwstr>
  </property>
  <property fmtid="{D5CDD505-2E9C-101B-9397-08002B2CF9AE}" pid="7" name="Jive_LatestUserAccountName">
    <vt:lpwstr>berelis</vt:lpwstr>
  </property>
</Properties>
</file>